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BC9" w:rsidRPr="00DB6F21" w:rsidRDefault="00082BC9" w:rsidP="00082BC9">
      <w:pPr>
        <w:spacing w:before="120" w:after="120"/>
        <w:ind w:left="1418" w:hanging="1418"/>
        <w:jc w:val="both"/>
        <w:rPr>
          <w:rFonts w:cstheme="minorHAnsi"/>
          <w:b/>
        </w:rPr>
      </w:pPr>
      <w:r w:rsidRPr="00DB6F21">
        <w:rPr>
          <w:rFonts w:cstheme="minorHAnsi"/>
        </w:rPr>
        <w:t xml:space="preserve">Příloha </w:t>
      </w:r>
      <w:r>
        <w:rPr>
          <w:rFonts w:cstheme="minorHAnsi"/>
        </w:rPr>
        <w:t xml:space="preserve">č. 5 </w:t>
      </w:r>
      <w:r w:rsidRPr="00DB6F21">
        <w:rPr>
          <w:rFonts w:cstheme="minorHAnsi"/>
          <w:b/>
        </w:rPr>
        <w:t>Podrobné vyhodnocení systémových a věcných opatření za rok 2019</w:t>
      </w:r>
    </w:p>
    <w:p w:rsidR="00082BC9" w:rsidRPr="00DB6F21" w:rsidRDefault="00082BC9" w:rsidP="00082BC9">
      <w:pPr>
        <w:spacing w:before="120" w:after="120"/>
        <w:jc w:val="both"/>
        <w:rPr>
          <w:rFonts w:cstheme="minorHAnsi"/>
          <w:color w:val="FF0000"/>
          <w:spacing w:val="-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1.</w:t>
            </w:r>
          </w:p>
        </w:tc>
        <w:tc>
          <w:tcPr>
            <w:tcW w:w="4394" w:type="dxa"/>
          </w:tcPr>
          <w:p w:rsidR="00082BC9" w:rsidRPr="00DB6F21" w:rsidRDefault="00082BC9" w:rsidP="00E72954">
            <w:pPr>
              <w:spacing w:before="60" w:after="60"/>
              <w:rPr>
                <w:rFonts w:cstheme="minorHAnsi"/>
                <w:b/>
              </w:rPr>
            </w:pPr>
            <w:r w:rsidRPr="00DB6F21">
              <w:rPr>
                <w:rFonts w:cstheme="minorHAnsi"/>
                <w:b/>
              </w:rPr>
              <w:t>Udržitelný rozvoj Sítě sociálních služeb Zlínského kraje</w:t>
            </w:r>
          </w:p>
        </w:tc>
        <w:tc>
          <w:tcPr>
            <w:tcW w:w="2552" w:type="dxa"/>
          </w:tcPr>
          <w:p w:rsidR="00082BC9" w:rsidRPr="00DB6F21" w:rsidRDefault="00082BC9" w:rsidP="00E72954">
            <w:pPr>
              <w:spacing w:before="60" w:after="60"/>
              <w:rPr>
                <w:rFonts w:cstheme="minorHAnsi"/>
              </w:rPr>
            </w:pPr>
            <w:r w:rsidRPr="00DB6F21">
              <w:rPr>
                <w:rFonts w:cstheme="minorHAnsi"/>
              </w:rPr>
              <w:t xml:space="preserve">1.S  </w:t>
            </w:r>
            <w:r w:rsidRPr="00DB6F21">
              <w:rPr>
                <w:rFonts w:cstheme="minorHAnsi"/>
                <w:spacing w:val="-2"/>
              </w:rPr>
              <w:t>Financování dostupnosti Sítě sociálních</w:t>
            </w:r>
            <w:r w:rsidRPr="00DB6F21">
              <w:rPr>
                <w:rFonts w:cstheme="minorHAnsi"/>
              </w:rPr>
              <w:t xml:space="preserve"> služeb Zlínského kraje v roce 2019</w:t>
            </w:r>
          </w:p>
        </w:tc>
        <w:tc>
          <w:tcPr>
            <w:tcW w:w="1275" w:type="dxa"/>
            <w:vAlign w:val="center"/>
          </w:tcPr>
          <w:p w:rsidR="00082BC9" w:rsidRPr="00DB6F21" w:rsidRDefault="00082BC9" w:rsidP="00E72954">
            <w:pPr>
              <w:spacing w:before="60" w:after="60"/>
              <w:rPr>
                <w:rFonts w:cstheme="minorHAnsi"/>
              </w:rPr>
            </w:pPr>
            <w:r w:rsidRPr="00DB6F21">
              <w:rPr>
                <w:rFonts w:cstheme="minorHAnsi"/>
              </w:rPr>
              <w:t>ANO</w:t>
            </w:r>
          </w:p>
        </w:tc>
      </w:tr>
    </w:tbl>
    <w:p w:rsidR="00082BC9" w:rsidRPr="00DB6F21" w:rsidRDefault="00082BC9" w:rsidP="00082BC9">
      <w:pPr>
        <w:spacing w:before="120" w:after="120"/>
        <w:jc w:val="both"/>
        <w:rPr>
          <w:rFonts w:cstheme="minorHAnsi"/>
          <w:i/>
          <w:spacing w:val="-2"/>
        </w:rPr>
      </w:pPr>
      <w:r w:rsidRPr="00DB6F21">
        <w:rPr>
          <w:rFonts w:cstheme="minorHAnsi"/>
          <w:i/>
          <w:spacing w:val="-2"/>
        </w:rPr>
        <w:t xml:space="preserve">Požadavek Zlínského kraje o poskytnutí dotace ze státního rozpočtu na období roku 2019 byl ve výši 1.163.056.000 Kč. Na základě ROZHODNUTÍ č. 1 o poskytnutí dotace z kapitoly 313 – MPSV státního rozpočtu na rok 2019 (01/2019) Zlínský kraj obdržel 1.069.310.048 Kč. </w:t>
      </w:r>
    </w:p>
    <w:p w:rsidR="00082BC9" w:rsidRPr="00DB6F21" w:rsidRDefault="00082BC9" w:rsidP="00082BC9">
      <w:pPr>
        <w:spacing w:before="120" w:after="120"/>
        <w:jc w:val="both"/>
        <w:rPr>
          <w:rFonts w:cstheme="minorHAnsi"/>
          <w:i/>
          <w:spacing w:val="-2"/>
        </w:rPr>
      </w:pPr>
      <w:r w:rsidRPr="00DB6F21">
        <w:rPr>
          <w:rFonts w:cstheme="minorHAnsi"/>
          <w:i/>
          <w:spacing w:val="-2"/>
        </w:rPr>
        <w:t xml:space="preserve">Na základě Žádosti kraje o navýšení dotace (č. 1) ze státního rozpočtu na období roku 2019 s požadavkem o dotaci ve výši 1.250.212.825 Kč byl Zlínskému kraji vydán Dodatek č. 1 k ROZHODNUTÍ č. 1 o poskytnutí dotace z kapitoly 313 – MPSV státního rozpočtu na rok 2019 (07/2019) a </w:t>
      </w:r>
      <w:r>
        <w:rPr>
          <w:rFonts w:cstheme="minorHAnsi"/>
          <w:i/>
          <w:spacing w:val="-2"/>
        </w:rPr>
        <w:t xml:space="preserve">byla </w:t>
      </w:r>
      <w:r w:rsidRPr="00DB6F21">
        <w:rPr>
          <w:rFonts w:cstheme="minorHAnsi"/>
          <w:i/>
          <w:spacing w:val="-2"/>
        </w:rPr>
        <w:t>poskytnuta dotace ve výši 1.140.010.048 Kč, což je 91,</w:t>
      </w:r>
      <w:r>
        <w:rPr>
          <w:rFonts w:cstheme="minorHAnsi"/>
          <w:i/>
          <w:spacing w:val="-2"/>
        </w:rPr>
        <w:t>2</w:t>
      </w:r>
      <w:r w:rsidRPr="00DB6F21">
        <w:rPr>
          <w:rFonts w:cstheme="minorHAnsi"/>
          <w:i/>
          <w:spacing w:val="-2"/>
        </w:rPr>
        <w:t> % z požadavku kraje o dotaci na rok 2019.</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3.</w:t>
            </w:r>
          </w:p>
        </w:tc>
        <w:tc>
          <w:tcPr>
            <w:tcW w:w="4394" w:type="dxa"/>
          </w:tcPr>
          <w:p w:rsidR="00082BC9" w:rsidRPr="00DB6F21" w:rsidRDefault="00082BC9" w:rsidP="00E72954">
            <w:pPr>
              <w:spacing w:before="60" w:after="60"/>
              <w:rPr>
                <w:rFonts w:cstheme="minorHAnsi"/>
                <w:b/>
              </w:rPr>
            </w:pPr>
            <w:r w:rsidRPr="00DB6F21">
              <w:rPr>
                <w:rFonts w:cstheme="minorHAnsi"/>
                <w:b/>
              </w:rPr>
              <w:t>Podpora vzniku a rozvoje zejména terénních a ambulantních služeb a služeb komunitního typu v místech, kde osoby žijí</w:t>
            </w:r>
          </w:p>
        </w:tc>
        <w:tc>
          <w:tcPr>
            <w:tcW w:w="2552" w:type="dxa"/>
          </w:tcPr>
          <w:p w:rsidR="00082BC9" w:rsidRPr="00DB6F21" w:rsidRDefault="00082BC9" w:rsidP="00E72954">
            <w:pPr>
              <w:spacing w:before="60" w:after="60"/>
              <w:rPr>
                <w:rFonts w:cstheme="minorHAnsi"/>
              </w:rPr>
            </w:pPr>
            <w:r w:rsidRPr="00DB6F21">
              <w:rPr>
                <w:rFonts w:cstheme="minorHAnsi"/>
              </w:rPr>
              <w:t>3.S  Financování rozvoje vybraných druhů sociálních služeb podporujících integraci osob se zaměřením na získávání dovedností a znalostí potřebných pro zvýšení jejich zaměstnatelnosti</w:t>
            </w:r>
          </w:p>
        </w:tc>
        <w:tc>
          <w:tcPr>
            <w:tcW w:w="1275" w:type="dxa"/>
            <w:vAlign w:val="center"/>
          </w:tcPr>
          <w:p w:rsidR="00082BC9" w:rsidRPr="00DB6F21" w:rsidRDefault="00082BC9" w:rsidP="00E72954">
            <w:pPr>
              <w:spacing w:before="60" w:after="60"/>
              <w:rPr>
                <w:rFonts w:cstheme="minorHAnsi"/>
              </w:rPr>
            </w:pPr>
            <w:r w:rsidRPr="00DB6F21">
              <w:rPr>
                <w:rFonts w:cstheme="minorHAnsi"/>
              </w:rPr>
              <w:t>ANO</w:t>
            </w:r>
          </w:p>
        </w:tc>
      </w:tr>
    </w:tbl>
    <w:p w:rsidR="00082BC9" w:rsidRPr="00DB6F21" w:rsidRDefault="00082BC9" w:rsidP="00082BC9">
      <w:pPr>
        <w:spacing w:before="120" w:after="120"/>
        <w:jc w:val="both"/>
        <w:rPr>
          <w:rFonts w:cstheme="minorHAnsi"/>
          <w:i/>
        </w:rPr>
      </w:pPr>
      <w:r w:rsidRPr="00DB6F21">
        <w:rPr>
          <w:rFonts w:cstheme="minorHAnsi"/>
          <w:i/>
        </w:rPr>
        <w:t xml:space="preserve">V roce 2019 pokračovala posledním rokem realizace individuálního projektu ZK „Podpora a rozvoj vybraných druhů sociálních služeb ve Zlínském kraji“. Byl podpořen rozvoj služby sociální rehabilitace u poskytovatele Horizont Zlín o 1,5 přepočtených úvazků pracovníků v přímé péči – dále jen „úvazek v PP“. Úmyslem Zlínského kraje bylo podpořit poskytovatele Rodinné centrum Knoflík, </w:t>
      </w:r>
      <w:proofErr w:type="spellStart"/>
      <w:r w:rsidRPr="00DB6F21">
        <w:rPr>
          <w:rFonts w:cstheme="minorHAnsi"/>
          <w:i/>
        </w:rPr>
        <w:t>z.s</w:t>
      </w:r>
      <w:proofErr w:type="spellEnd"/>
      <w:r w:rsidRPr="00DB6F21">
        <w:rPr>
          <w:rFonts w:cstheme="minorHAnsi"/>
          <w:i/>
        </w:rPr>
        <w:t>. vznikem 1,5 úvazku v PP, v roce 2019 k původně plánovanému vzniku nové služby sociálně terapeutické dílny v Bystřici pod Hostýnem nedošlo z důvodu odstoupení žadatele.  V průběhu roku 2019 se podařilo transparentním způsobem najít a podpořit poskytovatele NADĚJE, pobočka Otrokovice a Vsetín, který od února 2020 bude zajišťovat tuto službu sociálně terapeutické dílny pro území Bystřice pod Hostýnem. U služeb druhu osobní asistence a sociálně aktivizační služby pro rodiny s dětmi v roce 2019 rozvoj podpořen nebyl.</w:t>
      </w:r>
    </w:p>
    <w:p w:rsidR="00082BC9" w:rsidRPr="00DB6F21" w:rsidRDefault="00082BC9" w:rsidP="00082BC9">
      <w:pPr>
        <w:spacing w:before="120" w:after="120"/>
        <w:jc w:val="both"/>
        <w:rPr>
          <w:rFonts w:cstheme="minorHAnsi"/>
          <w:i/>
        </w:rPr>
      </w:pPr>
      <w:r w:rsidRPr="00DB6F21">
        <w:rPr>
          <w:rFonts w:cstheme="minorHAnsi"/>
          <w:i/>
        </w:rPr>
        <w:t xml:space="preserve">Financování služeb z projektových zdrojů bylo ukončeno k 31. 12. 2019, klíčová aktivita evaluace probíhá do 30. 6. 2020. V roce 2019 se uskutečnily závěrečné návštěvy evaluátorů ve službách a na jejich základě jsou postupně zpracovávány závěrečné evaluační zprávy za jednotlivé služby.  </w:t>
      </w:r>
    </w:p>
    <w:p w:rsidR="00082BC9" w:rsidRPr="00DB6F21" w:rsidRDefault="00082BC9" w:rsidP="00082BC9">
      <w:pPr>
        <w:spacing w:before="120" w:after="120"/>
        <w:rPr>
          <w:rFonts w:cstheme="minorHAnsi"/>
          <w:color w:val="FF000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tcBorders>
              <w:bottom w:val="single" w:sz="4" w:space="0" w:color="auto"/>
            </w:tcBorders>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tcBorders>
              <w:bottom w:val="single" w:sz="4" w:space="0" w:color="auto"/>
            </w:tcBorders>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tcBorders>
              <w:bottom w:val="single" w:sz="4" w:space="0" w:color="auto"/>
            </w:tcBorders>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Borders>
              <w:top w:val="single" w:sz="4" w:space="0" w:color="auto"/>
              <w:left w:val="single" w:sz="4" w:space="0" w:color="auto"/>
              <w:bottom w:val="single" w:sz="4" w:space="0" w:color="auto"/>
              <w:right w:val="single" w:sz="4" w:space="0" w:color="auto"/>
            </w:tcBorders>
          </w:tcPr>
          <w:p w:rsidR="00082BC9" w:rsidRPr="00DB6F21" w:rsidRDefault="00082BC9" w:rsidP="00E72954">
            <w:pPr>
              <w:spacing w:before="120" w:after="120"/>
              <w:rPr>
                <w:rFonts w:cstheme="minorHAnsi"/>
                <w:b/>
              </w:rPr>
            </w:pPr>
            <w:r w:rsidRPr="00DB6F21">
              <w:rPr>
                <w:rFonts w:cstheme="minorHAnsi"/>
                <w:b/>
              </w:rPr>
              <w:t>4.</w:t>
            </w:r>
          </w:p>
        </w:tc>
        <w:tc>
          <w:tcPr>
            <w:tcW w:w="4394" w:type="dxa"/>
            <w:tcBorders>
              <w:top w:val="single" w:sz="4" w:space="0" w:color="auto"/>
              <w:left w:val="single" w:sz="4" w:space="0" w:color="auto"/>
              <w:bottom w:val="single" w:sz="4" w:space="0" w:color="auto"/>
              <w:right w:val="single" w:sz="4" w:space="0" w:color="auto"/>
            </w:tcBorders>
          </w:tcPr>
          <w:p w:rsidR="00082BC9" w:rsidRPr="00DB6F21" w:rsidRDefault="00082BC9" w:rsidP="00E72954">
            <w:pPr>
              <w:spacing w:before="60" w:after="60"/>
              <w:rPr>
                <w:rFonts w:cstheme="minorHAnsi"/>
                <w:b/>
              </w:rPr>
            </w:pPr>
            <w:r w:rsidRPr="00DB6F21">
              <w:rPr>
                <w:rFonts w:cstheme="minorHAnsi"/>
                <w:b/>
              </w:rPr>
              <w:t xml:space="preserve">Organizacemi zřízenými Zlínským krajem zajišťovat především pobytové služby určené </w:t>
            </w:r>
            <w:r w:rsidRPr="00DB6F21">
              <w:rPr>
                <w:rFonts w:cstheme="minorHAnsi"/>
                <w:b/>
              </w:rPr>
              <w:lastRenderedPageBreak/>
              <w:t xml:space="preserve">specifickým skupinám obyvatelů s regionálním přesahem </w:t>
            </w:r>
          </w:p>
        </w:tc>
        <w:tc>
          <w:tcPr>
            <w:tcW w:w="2552" w:type="dxa"/>
            <w:tcBorders>
              <w:top w:val="single" w:sz="4" w:space="0" w:color="auto"/>
              <w:left w:val="single" w:sz="4" w:space="0" w:color="auto"/>
              <w:bottom w:val="single" w:sz="4" w:space="0" w:color="auto"/>
              <w:right w:val="single" w:sz="4" w:space="0" w:color="auto"/>
            </w:tcBorders>
          </w:tcPr>
          <w:p w:rsidR="00082BC9" w:rsidRPr="00DB6F21" w:rsidRDefault="00082BC9" w:rsidP="00E72954">
            <w:pPr>
              <w:spacing w:before="60" w:after="60"/>
              <w:rPr>
                <w:rFonts w:cstheme="minorHAnsi"/>
              </w:rPr>
            </w:pPr>
            <w:r w:rsidRPr="00DB6F21">
              <w:rPr>
                <w:rFonts w:cstheme="minorHAnsi"/>
              </w:rPr>
              <w:lastRenderedPageBreak/>
              <w:t xml:space="preserve">4.S.  Podpora vzniku chráněných bydlení </w:t>
            </w:r>
            <w:r w:rsidRPr="00DB6F21">
              <w:rPr>
                <w:rFonts w:cstheme="minorHAnsi"/>
              </w:rPr>
              <w:lastRenderedPageBreak/>
              <w:t xml:space="preserve">v rámci transformace pobytových služeb s koordinovaným přístupem v území </w:t>
            </w:r>
          </w:p>
        </w:tc>
        <w:tc>
          <w:tcPr>
            <w:tcW w:w="1275" w:type="dxa"/>
            <w:tcBorders>
              <w:top w:val="single" w:sz="4" w:space="0" w:color="auto"/>
              <w:left w:val="single" w:sz="4" w:space="0" w:color="auto"/>
              <w:bottom w:val="single" w:sz="4" w:space="0" w:color="auto"/>
              <w:right w:val="single" w:sz="4" w:space="0" w:color="auto"/>
            </w:tcBorders>
            <w:vAlign w:val="center"/>
          </w:tcPr>
          <w:p w:rsidR="00082BC9" w:rsidRPr="00DB6F21" w:rsidRDefault="00082BC9" w:rsidP="00E72954">
            <w:pPr>
              <w:spacing w:before="60" w:after="60"/>
              <w:rPr>
                <w:rFonts w:cstheme="minorHAnsi"/>
              </w:rPr>
            </w:pPr>
            <w:r w:rsidRPr="00DB6F21">
              <w:rPr>
                <w:rFonts w:cstheme="minorHAnsi"/>
              </w:rPr>
              <w:lastRenderedPageBreak/>
              <w:t>ANO</w:t>
            </w:r>
          </w:p>
        </w:tc>
      </w:tr>
    </w:tbl>
    <w:p w:rsidR="00082BC9" w:rsidRPr="00DB6F21" w:rsidRDefault="00082BC9" w:rsidP="00082BC9">
      <w:pPr>
        <w:spacing w:before="120" w:after="120"/>
        <w:jc w:val="both"/>
        <w:rPr>
          <w:rFonts w:cstheme="minorHAnsi"/>
          <w:i/>
        </w:rPr>
      </w:pPr>
      <w:r w:rsidRPr="00DB6F21">
        <w:rPr>
          <w:rFonts w:cstheme="minorHAnsi"/>
          <w:i/>
        </w:rPr>
        <w:t xml:space="preserve">V rámci prodlouženého projektu „Transformace pobytových služeb pro osoby se zdravotním postižením ve Zlínském kraji“ byl v roce 2019 podpořen vznik nových lůžek služby chráněné bydlení u poskytovatele Sociální služby Uherské Hradiště, příspěvková organizace. K 1. 11. 2019 vzniklo nové Chráněné bydlení Boršice s kapacitou 6 lůžek.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i/>
              </w:rPr>
              <w:t xml:space="preserve"> </w:t>
            </w: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5.</w:t>
            </w:r>
          </w:p>
        </w:tc>
        <w:tc>
          <w:tcPr>
            <w:tcW w:w="4394" w:type="dxa"/>
          </w:tcPr>
          <w:p w:rsidR="00082BC9" w:rsidRPr="00DB6F21" w:rsidRDefault="00082BC9" w:rsidP="00E72954">
            <w:pPr>
              <w:spacing w:before="60" w:after="60"/>
              <w:rPr>
                <w:rFonts w:cstheme="minorHAnsi"/>
                <w:b/>
              </w:rPr>
            </w:pPr>
            <w:r w:rsidRPr="00DB6F21">
              <w:rPr>
                <w:rFonts w:cstheme="minorHAnsi"/>
                <w:b/>
              </w:rPr>
              <w:t>Rozvoj nástrojů měření efektivity Sítě sociálních služeb Zlínského kraje</w:t>
            </w:r>
          </w:p>
        </w:tc>
        <w:tc>
          <w:tcPr>
            <w:tcW w:w="2552" w:type="dxa"/>
          </w:tcPr>
          <w:p w:rsidR="00082BC9" w:rsidRPr="00DB6F21" w:rsidRDefault="00082BC9" w:rsidP="00E72954">
            <w:pPr>
              <w:spacing w:before="60" w:after="60"/>
              <w:rPr>
                <w:rFonts w:cstheme="minorHAnsi"/>
              </w:rPr>
            </w:pPr>
            <w:r w:rsidRPr="00DB6F21">
              <w:rPr>
                <w:rFonts w:cstheme="minorHAnsi"/>
              </w:rPr>
              <w:t>5.S  Zlepšení nástrojů pro měření efektivity služeb, které tvoří a rozšiřují Síť</w:t>
            </w:r>
          </w:p>
        </w:tc>
        <w:tc>
          <w:tcPr>
            <w:tcW w:w="1275" w:type="dxa"/>
            <w:vAlign w:val="center"/>
          </w:tcPr>
          <w:p w:rsidR="00082BC9" w:rsidRPr="00DB6F21" w:rsidRDefault="00082BC9" w:rsidP="00E72954">
            <w:pPr>
              <w:spacing w:before="60" w:after="60"/>
              <w:rPr>
                <w:rFonts w:cstheme="minorHAnsi"/>
              </w:rPr>
            </w:pPr>
            <w:r w:rsidRPr="00DB6F21">
              <w:rPr>
                <w:rFonts w:cstheme="minorHAnsi"/>
              </w:rPr>
              <w:t>ČÁSTEČNĚ</w:t>
            </w:r>
          </w:p>
        </w:tc>
      </w:tr>
    </w:tbl>
    <w:p w:rsidR="00082BC9" w:rsidRPr="00DB6F21" w:rsidRDefault="00082BC9" w:rsidP="00082BC9">
      <w:pPr>
        <w:spacing w:before="120" w:after="120"/>
        <w:jc w:val="both"/>
        <w:rPr>
          <w:rFonts w:cstheme="minorHAnsi"/>
          <w:i/>
        </w:rPr>
      </w:pPr>
      <w:r w:rsidRPr="00DB6F21">
        <w:rPr>
          <w:rFonts w:cstheme="minorHAnsi"/>
          <w:i/>
        </w:rPr>
        <w:t xml:space="preserve">Projektová žádost na rozšíření modulů webové aplikace </w:t>
      </w:r>
      <w:proofErr w:type="spellStart"/>
      <w:r w:rsidRPr="00DB6F21">
        <w:rPr>
          <w:rFonts w:cstheme="minorHAnsi"/>
          <w:i/>
        </w:rPr>
        <w:t>KISSoS</w:t>
      </w:r>
      <w:proofErr w:type="spellEnd"/>
      <w:r w:rsidRPr="00DB6F21">
        <w:rPr>
          <w:rFonts w:cstheme="minorHAnsi"/>
          <w:i/>
        </w:rPr>
        <w:t xml:space="preserve"> nemohla být v roce 2019 podána, protože v rámci operačního programu Zaměstnanost nebyla vyhlášena vhodná výzva. Rozšíření modulů webové aplikace </w:t>
      </w:r>
      <w:proofErr w:type="spellStart"/>
      <w:r w:rsidRPr="00DB6F21">
        <w:rPr>
          <w:rFonts w:cstheme="minorHAnsi"/>
          <w:i/>
        </w:rPr>
        <w:t>KISSoS</w:t>
      </w:r>
      <w:proofErr w:type="spellEnd"/>
      <w:r w:rsidRPr="00DB6F21">
        <w:rPr>
          <w:rFonts w:cstheme="minorHAnsi"/>
          <w:i/>
        </w:rPr>
        <w:t xml:space="preserve"> o nástroje pro měření efektivity služeb bude řešeno z rozpočtu Zlínského kraje.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6.</w:t>
            </w:r>
          </w:p>
        </w:tc>
        <w:tc>
          <w:tcPr>
            <w:tcW w:w="4394" w:type="dxa"/>
          </w:tcPr>
          <w:p w:rsidR="00082BC9" w:rsidRPr="00DB6F21" w:rsidRDefault="00082BC9" w:rsidP="00E72954">
            <w:pPr>
              <w:spacing w:before="60" w:after="60"/>
              <w:rPr>
                <w:rFonts w:cstheme="minorHAnsi"/>
                <w:b/>
              </w:rPr>
            </w:pPr>
            <w:r w:rsidRPr="00DB6F21">
              <w:rPr>
                <w:rFonts w:cstheme="minorHAnsi"/>
                <w:b/>
              </w:rPr>
              <w:t>Definování principů pro tvorbu Optimální Sítě sociálních služeb</w:t>
            </w:r>
          </w:p>
        </w:tc>
        <w:tc>
          <w:tcPr>
            <w:tcW w:w="2552" w:type="dxa"/>
          </w:tcPr>
          <w:p w:rsidR="00082BC9" w:rsidRPr="00DB6F21" w:rsidRDefault="00082BC9" w:rsidP="00E72954">
            <w:pPr>
              <w:spacing w:before="60" w:after="60"/>
              <w:rPr>
                <w:rFonts w:cstheme="minorHAnsi"/>
              </w:rPr>
            </w:pPr>
            <w:r w:rsidRPr="00DB6F21">
              <w:rPr>
                <w:rFonts w:cstheme="minorHAnsi"/>
              </w:rPr>
              <w:t>6.S Definování principů pro tvorbu Optimální Sítě sociálních služeb</w:t>
            </w:r>
          </w:p>
        </w:tc>
        <w:tc>
          <w:tcPr>
            <w:tcW w:w="1275" w:type="dxa"/>
            <w:vAlign w:val="center"/>
          </w:tcPr>
          <w:p w:rsidR="00082BC9" w:rsidRPr="00DB6F21" w:rsidRDefault="00082BC9" w:rsidP="00E72954">
            <w:pPr>
              <w:spacing w:before="60" w:after="60"/>
              <w:rPr>
                <w:rFonts w:cstheme="minorHAnsi"/>
              </w:rPr>
            </w:pPr>
            <w:r w:rsidRPr="00AE46E3">
              <w:rPr>
                <w:rFonts w:cstheme="minorHAnsi"/>
              </w:rPr>
              <w:t>ČÁSTEČNĚ</w:t>
            </w:r>
          </w:p>
        </w:tc>
      </w:tr>
    </w:tbl>
    <w:p w:rsidR="00082BC9" w:rsidRPr="00DB6F21" w:rsidRDefault="00082BC9" w:rsidP="00082BC9">
      <w:pPr>
        <w:spacing w:before="120" w:after="120"/>
        <w:jc w:val="both"/>
        <w:rPr>
          <w:rFonts w:cstheme="minorHAnsi"/>
          <w:i/>
        </w:rPr>
      </w:pPr>
      <w:r w:rsidRPr="00DB6F21">
        <w:rPr>
          <w:rFonts w:cstheme="minorHAnsi"/>
          <w:i/>
        </w:rPr>
        <w:t xml:space="preserve">V rámci výzvy operačního programu Zaměstnanost </w:t>
      </w:r>
      <w:r>
        <w:rPr>
          <w:rFonts w:cstheme="minorHAnsi"/>
          <w:i/>
        </w:rPr>
        <w:t>byl</w:t>
      </w:r>
      <w:r w:rsidRPr="00DB6F21">
        <w:rPr>
          <w:rFonts w:cstheme="minorHAnsi"/>
          <w:i/>
        </w:rPr>
        <w:t xml:space="preserve"> realizován projekt na zpracování „Koncepce vývoje sociálních služeb ve Zlínském kraji“ (dále jen „Koncepce“), jehož dodavatelem </w:t>
      </w:r>
      <w:r>
        <w:rPr>
          <w:rFonts w:cstheme="minorHAnsi"/>
          <w:i/>
        </w:rPr>
        <w:t>byla</w:t>
      </w:r>
      <w:r w:rsidRPr="00DB6F21">
        <w:rPr>
          <w:rFonts w:cstheme="minorHAnsi"/>
          <w:i/>
        </w:rPr>
        <w:t xml:space="preserve"> společnost Asistenční centrum, a.s. Koncepce bude jedním z podkladů pro tvorbu Střednědobých plánů rozvoje sociálních služeb ve Zlínském kraji a bude sloužit pro plánování rozvoje sociálních služeb na </w:t>
      </w:r>
      <w:r>
        <w:rPr>
          <w:rFonts w:cstheme="minorHAnsi"/>
          <w:i/>
        </w:rPr>
        <w:t xml:space="preserve">období </w:t>
      </w:r>
      <w:r w:rsidRPr="00DB6F21">
        <w:rPr>
          <w:rFonts w:cstheme="minorHAnsi"/>
          <w:i/>
        </w:rPr>
        <w:t xml:space="preserve">2020 – 2030.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7.</w:t>
            </w:r>
          </w:p>
        </w:tc>
        <w:tc>
          <w:tcPr>
            <w:tcW w:w="4394" w:type="dxa"/>
          </w:tcPr>
          <w:p w:rsidR="00082BC9" w:rsidRPr="00DB6F21" w:rsidRDefault="00082BC9" w:rsidP="00E72954">
            <w:pPr>
              <w:spacing w:before="60" w:after="60"/>
              <w:rPr>
                <w:rFonts w:cstheme="minorHAnsi"/>
                <w:b/>
              </w:rPr>
            </w:pPr>
            <w:r w:rsidRPr="00DB6F21">
              <w:rPr>
                <w:rFonts w:cstheme="minorHAnsi"/>
                <w:b/>
              </w:rPr>
              <w:t>Zajistit dostatečnou informovanost partnerů a občanů Zlínského kraje</w:t>
            </w:r>
          </w:p>
        </w:tc>
        <w:tc>
          <w:tcPr>
            <w:tcW w:w="2552" w:type="dxa"/>
          </w:tcPr>
          <w:p w:rsidR="00082BC9" w:rsidRPr="00DB6F21" w:rsidRDefault="00082BC9" w:rsidP="00E72954">
            <w:pPr>
              <w:spacing w:before="60" w:after="60"/>
              <w:rPr>
                <w:rFonts w:cstheme="minorHAnsi"/>
              </w:rPr>
            </w:pPr>
            <w:r w:rsidRPr="00DB6F21">
              <w:rPr>
                <w:rFonts w:cstheme="minorHAnsi"/>
              </w:rPr>
              <w:t>7.S Sdílení dobré praxe v procesu transformace</w:t>
            </w:r>
          </w:p>
        </w:tc>
        <w:tc>
          <w:tcPr>
            <w:tcW w:w="1275" w:type="dxa"/>
            <w:vAlign w:val="center"/>
          </w:tcPr>
          <w:p w:rsidR="00082BC9" w:rsidRPr="00DB6F21" w:rsidRDefault="00082BC9" w:rsidP="00E72954">
            <w:pPr>
              <w:spacing w:before="60" w:after="60"/>
              <w:rPr>
                <w:rFonts w:cstheme="minorHAnsi"/>
              </w:rPr>
            </w:pPr>
            <w:r w:rsidRPr="00DB6F21">
              <w:rPr>
                <w:rFonts w:cstheme="minorHAnsi"/>
              </w:rPr>
              <w:t>ANO</w:t>
            </w:r>
          </w:p>
        </w:tc>
      </w:tr>
    </w:tbl>
    <w:p w:rsidR="00082BC9" w:rsidRPr="00DB6F21" w:rsidRDefault="00082BC9" w:rsidP="00082BC9">
      <w:pPr>
        <w:spacing w:before="120" w:after="120"/>
        <w:jc w:val="both"/>
        <w:rPr>
          <w:rFonts w:cstheme="minorHAnsi"/>
          <w:i/>
        </w:rPr>
      </w:pPr>
      <w:r w:rsidRPr="00DB6F21">
        <w:rPr>
          <w:rFonts w:cstheme="minorHAnsi"/>
          <w:i/>
        </w:rPr>
        <w:t xml:space="preserve">V rámci prodloužení projektu „Transformace pobytových služeb pro osoby se zdravotním postižením ve Zlínském kraji“ byla zařazena od 1. 5. 2019 nová aktivita – kazuistické semináře, jejichž obsahem je výměna zkušeností pracovníků zařízení DOZP a CHB, moderovaná odborným </w:t>
      </w:r>
      <w:proofErr w:type="spellStart"/>
      <w:r w:rsidRPr="00DB6F21">
        <w:rPr>
          <w:rFonts w:cstheme="minorHAnsi"/>
          <w:i/>
        </w:rPr>
        <w:t>facilitátorem</w:t>
      </w:r>
      <w:proofErr w:type="spellEnd"/>
      <w:r w:rsidRPr="00DB6F21">
        <w:rPr>
          <w:rFonts w:cstheme="minorHAnsi"/>
          <w:i/>
        </w:rPr>
        <w:t xml:space="preserve">. Prostřednictvím aktuálních konkrétních případů klientů zařízení sociálních služeb se pracovníci učí řešit problémy týmově a zlepšovat svoji schopnost využívat získané znalosti ve své praxi. Při řešení jednoho případu se tak setkávají pracovníci více zařízení společně s dalšími zapojenými osobami – zdravotníky, opatrovníky, návaznými službami. V roce 2019 proběhly 2 kazuistické semináře (20. 6. 2019 a 28. 11. 2019). Ze získané zpětné vazby vyplynula potřebnost vzájemné komunikace a sdílení praxe pracovníků v sociálních službách zapojených do procesu transformace a zároveň efektivita zvoleného formátu aktivity. </w:t>
      </w:r>
    </w:p>
    <w:p w:rsidR="00082BC9" w:rsidRPr="00DB6F21" w:rsidRDefault="00082BC9" w:rsidP="00082BC9">
      <w:pPr>
        <w:jc w:val="both"/>
        <w:rPr>
          <w:rFonts w:cstheme="minorHAnsi"/>
          <w:i/>
        </w:rPr>
      </w:pPr>
      <w:r w:rsidRPr="00DB6F21">
        <w:rPr>
          <w:rFonts w:cstheme="minorHAnsi"/>
          <w:i/>
        </w:rPr>
        <w:t xml:space="preserve">Konference Transformace v sociálních službách včera, dnes a zítra - dne 20. 3. 2019 uspořádala příspěvková organizace Zlínského kraje Sociální služby Vsetín, p. o. konferenci s mezinárodní účastí na téma transformace sociálních služeb jako komplexní změna v přístupu k poskytování služeb klientům. </w:t>
      </w:r>
      <w:r w:rsidRPr="00DB6F21">
        <w:rPr>
          <w:rFonts w:cstheme="minorHAnsi"/>
          <w:i/>
        </w:rPr>
        <w:lastRenderedPageBreak/>
        <w:t xml:space="preserve">Konference proběhla jako součást projektu O krok dál, který je realizován Sociálními službami Vsetín, p. o. a podpořen Operačním programem Zaměstnanost. Záštitu na konferenci přebralo Ministerstvo práce a sociálních věcí ČR, dále Ladislav Okleštěk, hejtman Olomouckého kraje, Michaela Blahová, radní pro oblast sociálních věcí, neziskového sektoru a rodinnou politiku Zlínského kraje, prof. PaedDr. Libuše </w:t>
      </w:r>
      <w:proofErr w:type="spellStart"/>
      <w:r w:rsidRPr="00DB6F21">
        <w:rPr>
          <w:rFonts w:cstheme="minorHAnsi"/>
          <w:i/>
        </w:rPr>
        <w:t>Ludíková</w:t>
      </w:r>
      <w:proofErr w:type="spellEnd"/>
      <w:r w:rsidRPr="00DB6F21">
        <w:rPr>
          <w:rFonts w:cstheme="minorHAnsi"/>
          <w:i/>
        </w:rPr>
        <w:t>, CSc., děkanka Pedagogické fakulty Univerzity Palackého, a prof. Mgr. Jaroslav Miller, M.A., Ph.D., rektor Univerzity Palackého. Konference se zúčastnilo více než 200 účastníků.</w:t>
      </w:r>
    </w:p>
    <w:p w:rsidR="00082BC9" w:rsidRPr="00DB6F21" w:rsidRDefault="00082BC9" w:rsidP="00082BC9">
      <w:pPr>
        <w:jc w:val="both"/>
        <w:rPr>
          <w:rFonts w:cstheme="minorHAnsi"/>
          <w:i/>
        </w:rPr>
      </w:pPr>
      <w:r w:rsidRPr="00DB6F21">
        <w:rPr>
          <w:rFonts w:cstheme="minorHAnsi"/>
          <w:i/>
        </w:rPr>
        <w:t>Dne 16. 4. 2019 byla odborem sociálních věcí Krajského úřadu Zlínského kraje uspořádána porada vedoucích odborů sociálních věcí, obecních úřadů obcí s rozšířenou působností Zlínského kraje. Jedním z témat porady byly také procesy transformace v příspěvkových organizacích Zlínského kraje, kdy účastníci porady byli seznámeni s dosavadními výsledky transformačních procesů a aktuálními informacemi o dalším vývoji.</w:t>
      </w:r>
    </w:p>
    <w:p w:rsidR="00082BC9" w:rsidRPr="00DB6F21" w:rsidRDefault="00082BC9" w:rsidP="00082BC9">
      <w:pPr>
        <w:jc w:val="both"/>
        <w:rPr>
          <w:rFonts w:cstheme="minorHAnsi"/>
          <w:i/>
        </w:rPr>
      </w:pPr>
      <w:r w:rsidRPr="00DB6F21">
        <w:rPr>
          <w:rFonts w:cstheme="minorHAnsi"/>
          <w:i/>
        </w:rPr>
        <w:t xml:space="preserve">V roce 2019 pokračoval mezinárodní projekt Společná cesta k novému domovu, který je zaměřen mimo jiné na výměnu zkušeností a přenos dobré praxe v procesu transformace a </w:t>
      </w:r>
      <w:proofErr w:type="spellStart"/>
      <w:r w:rsidRPr="00DB6F21">
        <w:rPr>
          <w:rFonts w:cstheme="minorHAnsi"/>
          <w:i/>
        </w:rPr>
        <w:t>deinstitucionalizace</w:t>
      </w:r>
      <w:proofErr w:type="spellEnd"/>
      <w:r w:rsidRPr="00DB6F21">
        <w:rPr>
          <w:rFonts w:cstheme="minorHAnsi"/>
          <w:i/>
        </w:rPr>
        <w:t xml:space="preserve"> zařízení sociálních služeb pro osoby se zdravotním postižením. Partnery projektu jsou </w:t>
      </w:r>
      <w:proofErr w:type="spellStart"/>
      <w:r w:rsidRPr="00DB6F21">
        <w:rPr>
          <w:rFonts w:cstheme="minorHAnsi"/>
          <w:i/>
        </w:rPr>
        <w:t>Trenčanský</w:t>
      </w:r>
      <w:proofErr w:type="spellEnd"/>
      <w:r w:rsidRPr="00DB6F21">
        <w:rPr>
          <w:rFonts w:cstheme="minorHAnsi"/>
          <w:i/>
        </w:rPr>
        <w:t xml:space="preserve"> samosprávný kraj, příspěvkové organizace Zlínského kraje Sociální služby Vsetín, </w:t>
      </w:r>
      <w:proofErr w:type="spellStart"/>
      <w:r w:rsidRPr="00DB6F21">
        <w:rPr>
          <w:rFonts w:cstheme="minorHAnsi"/>
          <w:i/>
        </w:rPr>
        <w:t>p.o</w:t>
      </w:r>
      <w:proofErr w:type="spellEnd"/>
      <w:r w:rsidRPr="00DB6F21">
        <w:rPr>
          <w:rFonts w:cstheme="minorHAnsi"/>
          <w:i/>
        </w:rPr>
        <w:t xml:space="preserve">. a Sociální služby Uherské Hradiště, </w:t>
      </w:r>
      <w:proofErr w:type="spellStart"/>
      <w:r w:rsidRPr="00DB6F21">
        <w:rPr>
          <w:rFonts w:cstheme="minorHAnsi"/>
          <w:i/>
        </w:rPr>
        <w:t>p.o</w:t>
      </w:r>
      <w:proofErr w:type="spellEnd"/>
      <w:r w:rsidRPr="00DB6F21">
        <w:rPr>
          <w:rFonts w:cstheme="minorHAnsi"/>
          <w:i/>
        </w:rPr>
        <w:t>. V rámci projektu proběhla dle 13. 5. 2019 Exkurze do transformovaných zařízení sociálních služeb (konkrétně do DOZP Zašová a CHB Luhačovice). V průběhu exkurze probíhala výměna poznatků a zkušeností z praxe, přenos know-how v souvislosti s transformací a diskuse o pozitivech i úskalích transformace.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8.</w:t>
            </w:r>
          </w:p>
        </w:tc>
        <w:tc>
          <w:tcPr>
            <w:tcW w:w="4394" w:type="dxa"/>
          </w:tcPr>
          <w:p w:rsidR="00082BC9" w:rsidRPr="00DB6F21" w:rsidRDefault="00082BC9" w:rsidP="00E72954">
            <w:pPr>
              <w:spacing w:before="60" w:after="60"/>
              <w:rPr>
                <w:rFonts w:cstheme="minorHAnsi"/>
                <w:b/>
              </w:rPr>
            </w:pPr>
            <w:r w:rsidRPr="00DB6F21">
              <w:rPr>
                <w:rFonts w:cstheme="minorHAnsi"/>
                <w:b/>
              </w:rPr>
              <w:t>Zlepšit kvalitu života osob s duševním onemocněním</w:t>
            </w:r>
          </w:p>
        </w:tc>
        <w:tc>
          <w:tcPr>
            <w:tcW w:w="2552" w:type="dxa"/>
          </w:tcPr>
          <w:p w:rsidR="00082BC9" w:rsidRPr="00DB6F21" w:rsidRDefault="00082BC9" w:rsidP="00E72954">
            <w:pPr>
              <w:spacing w:before="60" w:after="60"/>
              <w:rPr>
                <w:rFonts w:cstheme="minorHAnsi"/>
              </w:rPr>
            </w:pPr>
            <w:r w:rsidRPr="00DB6F21">
              <w:rPr>
                <w:rFonts w:cstheme="minorHAnsi"/>
              </w:rPr>
              <w:t>8.S Participace kraje na společných jednáních s cílem zlepšit kvalitu života osob s duševním onemocněním</w:t>
            </w:r>
          </w:p>
        </w:tc>
        <w:tc>
          <w:tcPr>
            <w:tcW w:w="1275" w:type="dxa"/>
            <w:vAlign w:val="center"/>
          </w:tcPr>
          <w:p w:rsidR="00082BC9" w:rsidRPr="00DB6F21" w:rsidRDefault="00082BC9" w:rsidP="00E72954">
            <w:pPr>
              <w:spacing w:before="60" w:after="60"/>
              <w:rPr>
                <w:rFonts w:cstheme="minorHAnsi"/>
              </w:rPr>
            </w:pPr>
            <w:r w:rsidRPr="00DB6F21">
              <w:rPr>
                <w:rFonts w:cstheme="minorHAnsi"/>
              </w:rPr>
              <w:t>ANO</w:t>
            </w:r>
          </w:p>
        </w:tc>
      </w:tr>
    </w:tbl>
    <w:p w:rsidR="00082BC9" w:rsidRPr="00DB6F21" w:rsidRDefault="00082BC9" w:rsidP="00082BC9">
      <w:pPr>
        <w:spacing w:before="120" w:after="120"/>
        <w:jc w:val="both"/>
        <w:rPr>
          <w:rFonts w:cstheme="minorHAnsi"/>
          <w:i/>
        </w:rPr>
      </w:pPr>
      <w:r w:rsidRPr="00DB6F21">
        <w:rPr>
          <w:rFonts w:cstheme="minorHAnsi"/>
          <w:i/>
        </w:rPr>
        <w:t xml:space="preserve">Vedoucí pracovníci odboru sociálních věcí se pravidelně účastní </w:t>
      </w:r>
      <w:r w:rsidR="00BB166D" w:rsidRPr="00BB166D">
        <w:rPr>
          <w:rFonts w:cstheme="minorHAnsi"/>
          <w:i/>
        </w:rPr>
        <w:t xml:space="preserve">Krajských koordinačních skupin </w:t>
      </w:r>
      <w:r w:rsidR="00AA142C" w:rsidRPr="00BB166D">
        <w:rPr>
          <w:rFonts w:cstheme="minorHAnsi"/>
          <w:i/>
        </w:rPr>
        <w:t>Reformy psychiatrické péče</w:t>
      </w:r>
      <w:r w:rsidR="00AA142C">
        <w:rPr>
          <w:rFonts w:cstheme="minorHAnsi"/>
          <w:i/>
        </w:rPr>
        <w:t xml:space="preserve"> </w:t>
      </w:r>
      <w:r w:rsidR="00BB166D" w:rsidRPr="00BB166D">
        <w:rPr>
          <w:rFonts w:cstheme="minorHAnsi"/>
          <w:i/>
        </w:rPr>
        <w:t>k</w:t>
      </w:r>
      <w:r w:rsidR="00BB166D">
        <w:rPr>
          <w:rFonts w:cstheme="minorHAnsi"/>
          <w:i/>
        </w:rPr>
        <w:t> </w:t>
      </w:r>
      <w:r w:rsidR="00BB166D" w:rsidRPr="00BB166D">
        <w:rPr>
          <w:rFonts w:cstheme="minorHAnsi"/>
          <w:i/>
        </w:rPr>
        <w:t xml:space="preserve">projektu </w:t>
      </w:r>
      <w:r w:rsidR="00AA142C">
        <w:rPr>
          <w:rFonts w:cstheme="minorHAnsi"/>
          <w:i/>
        </w:rPr>
        <w:t>„</w:t>
      </w:r>
      <w:proofErr w:type="spellStart"/>
      <w:r w:rsidR="00BB166D" w:rsidRPr="00BB166D">
        <w:rPr>
          <w:rFonts w:cstheme="minorHAnsi"/>
          <w:i/>
        </w:rPr>
        <w:t>Deinstitucionalizace</w:t>
      </w:r>
      <w:proofErr w:type="spellEnd"/>
      <w:r w:rsidR="00BB166D" w:rsidRPr="00BB166D">
        <w:rPr>
          <w:rFonts w:cstheme="minorHAnsi"/>
          <w:i/>
        </w:rPr>
        <w:t xml:space="preserve"> služeb pro duševně nemocné</w:t>
      </w:r>
      <w:r w:rsidR="00AA142C">
        <w:rPr>
          <w:rFonts w:cstheme="minorHAnsi"/>
          <w:i/>
        </w:rPr>
        <w:t>“</w:t>
      </w:r>
      <w:r w:rsidRPr="00DB6F21">
        <w:rPr>
          <w:rFonts w:cstheme="minorHAnsi"/>
          <w:i/>
        </w:rPr>
        <w:t xml:space="preserve">, účastní se kazuistických seminářů, organizovaných v rámci projektu Reformy psychiatrické péče v Psychiatrické nemocnici Kroměříž. </w:t>
      </w:r>
      <w:bookmarkStart w:id="0" w:name="_GoBack"/>
      <w:bookmarkEnd w:id="0"/>
      <w:r w:rsidRPr="00DB6F21">
        <w:rPr>
          <w:rFonts w:cstheme="minorHAnsi"/>
          <w:i/>
        </w:rPr>
        <w:t>Pracovníci odboru SOC KÚZK se zúčastnili konference Výzvy komplexní péče o duševně nemocné, konané ve dnech 14. – 15. 11. 2019 v Hradci Králové.</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9.</w:t>
            </w:r>
          </w:p>
        </w:tc>
        <w:tc>
          <w:tcPr>
            <w:tcW w:w="4394" w:type="dxa"/>
          </w:tcPr>
          <w:p w:rsidR="00082BC9" w:rsidRPr="00DB6F21" w:rsidRDefault="00082BC9" w:rsidP="00E72954">
            <w:pPr>
              <w:spacing w:before="60" w:after="60"/>
              <w:rPr>
                <w:rFonts w:cstheme="minorHAnsi"/>
                <w:b/>
              </w:rPr>
            </w:pPr>
            <w:r w:rsidRPr="00DB6F21">
              <w:rPr>
                <w:rFonts w:cstheme="minorHAnsi"/>
                <w:b/>
              </w:rPr>
              <w:t xml:space="preserve">Zajištění dostatečného počtu pobytových služeb pro seniory a osoby se zdravotním postižením s cílem humanizace a </w:t>
            </w:r>
            <w:proofErr w:type="spellStart"/>
            <w:r w:rsidRPr="00DB6F21">
              <w:rPr>
                <w:rFonts w:cstheme="minorHAnsi"/>
                <w:b/>
              </w:rPr>
              <w:t>deinstitucionalizace</w:t>
            </w:r>
            <w:proofErr w:type="spellEnd"/>
          </w:p>
        </w:tc>
        <w:tc>
          <w:tcPr>
            <w:tcW w:w="2552" w:type="dxa"/>
          </w:tcPr>
          <w:p w:rsidR="00082BC9" w:rsidRPr="00DB6F21" w:rsidRDefault="00082BC9" w:rsidP="00E72954">
            <w:pPr>
              <w:spacing w:before="60" w:after="60"/>
              <w:rPr>
                <w:rFonts w:cstheme="minorHAnsi"/>
              </w:rPr>
            </w:pPr>
            <w:r w:rsidRPr="00DB6F21">
              <w:rPr>
                <w:rFonts w:cstheme="minorHAnsi"/>
              </w:rPr>
              <w:t>9.S Věcné opatření 1.1.2. v Akčním plánu pro rok 2019 v cílové skupině Senioři</w:t>
            </w:r>
          </w:p>
        </w:tc>
        <w:tc>
          <w:tcPr>
            <w:tcW w:w="1275" w:type="dxa"/>
            <w:vAlign w:val="center"/>
          </w:tcPr>
          <w:p w:rsidR="00082BC9" w:rsidRPr="00DB6F21" w:rsidRDefault="00082BC9" w:rsidP="00E72954">
            <w:pPr>
              <w:spacing w:before="60" w:after="60"/>
              <w:rPr>
                <w:rFonts w:cstheme="minorHAnsi"/>
              </w:rPr>
            </w:pPr>
            <w:r w:rsidRPr="00DB6F21">
              <w:rPr>
                <w:rFonts w:cstheme="minorHAnsi"/>
              </w:rPr>
              <w:t>ČÁSTEČNĚ</w:t>
            </w:r>
          </w:p>
        </w:tc>
      </w:tr>
    </w:tbl>
    <w:p w:rsidR="00082BC9" w:rsidRPr="00DB6F21" w:rsidRDefault="00082BC9" w:rsidP="00082BC9">
      <w:pPr>
        <w:spacing w:before="120" w:after="120"/>
        <w:jc w:val="both"/>
        <w:rPr>
          <w:rFonts w:cstheme="minorHAnsi"/>
          <w:i/>
        </w:rPr>
      </w:pPr>
      <w:r w:rsidRPr="00DB6F21">
        <w:rPr>
          <w:rFonts w:cstheme="minorHAnsi"/>
          <w:i/>
        </w:rPr>
        <w:t xml:space="preserve">Priorita přechází do Střednědobého plánu 2020 – 2022. K naplnění věcného opatření 1.1.2. v Akčním plánu 2019 pro cílovou skupinu Senioři se váže věcné opatření 2.4.2 v Akčním plánu 2020, kterým je zachování 23 lůžek pobytových služeb pro seniory v SO ORP Uherský Brod. Jedná se o náhradu kapacit z Domova pro seniory Nezdenice, kde v roce 2017 mělo dojít k poklesu kapacit ze 165 o 50 lůžek Domova pro seniory a vzniku 27 lůžek Domova se zvláštním režimem. V průběhu roku 2018 došlo k upřesnění kapacit Domova pro seniory na 133 lůžek a k posunutí termínu realizace vzniku Domova se zvláštním režimem na 1. 2. 2019. K 1. 2. 2019 je cílová kapacita Domova pro seniory 115 lůžek (pokles o 18 lůžek) </w:t>
      </w:r>
      <w:r w:rsidRPr="00DB6F21">
        <w:rPr>
          <w:rFonts w:cstheme="minorHAnsi"/>
          <w:i/>
        </w:rPr>
        <w:lastRenderedPageBreak/>
        <w:t xml:space="preserve">a vzniklo 27 lůžek kapacity v Domově se zvláštním režimem - pro osoby s Alzheimerovou chorobou a jinými typy demencí. Rozdíl dosud nenahrazené kapacity je 23 lůžek. </w:t>
      </w:r>
    </w:p>
    <w:p w:rsidR="00082BC9" w:rsidRPr="00DB6F21" w:rsidRDefault="00082BC9" w:rsidP="00082BC9">
      <w:pPr>
        <w:spacing w:before="120" w:after="120"/>
        <w:jc w:val="both"/>
        <w:rPr>
          <w:rFonts w:cstheme="minorHAnsi"/>
          <w:i/>
        </w:rPr>
      </w:pPr>
      <w:r w:rsidRPr="00DB6F21">
        <w:rPr>
          <w:rFonts w:cstheme="minorHAnsi"/>
          <w:i/>
        </w:rPr>
        <w:t>Je postupováno v souladu s textem Akčního plánu 2020, kde je uvedeno „Do opatření jsou tedy zahrnuty kapacity sociálních služeb, které jsou náhradami, zachováním či dosud nevznikly a na které byl vydán soulad se Střednědobým plánem nebo Vyjádření objednatele služeb o úmyslu poskytovatele služby pověřit výkonem služby obecného hospodářského zájmu v souladu s Rozhodnutím SGEI.“</w:t>
      </w:r>
    </w:p>
    <w:p w:rsidR="00082BC9" w:rsidRPr="00DB6F21" w:rsidRDefault="00082BC9" w:rsidP="00082BC9">
      <w:pPr>
        <w:spacing w:before="120" w:after="120"/>
        <w:jc w:val="both"/>
        <w:rPr>
          <w:rFonts w:cstheme="minorHAnsi"/>
          <w: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10.</w:t>
            </w:r>
          </w:p>
        </w:tc>
        <w:tc>
          <w:tcPr>
            <w:tcW w:w="4394" w:type="dxa"/>
          </w:tcPr>
          <w:p w:rsidR="00082BC9" w:rsidRPr="00DB6F21" w:rsidRDefault="00082BC9" w:rsidP="00E72954">
            <w:pPr>
              <w:spacing w:before="60" w:after="60"/>
              <w:rPr>
                <w:rFonts w:cstheme="minorHAnsi"/>
                <w:b/>
              </w:rPr>
            </w:pPr>
            <w:r w:rsidRPr="00DB6F21">
              <w:rPr>
                <w:rFonts w:cstheme="minorHAnsi"/>
                <w:b/>
              </w:rPr>
              <w:t>Zajištění potřeb osob se závislostmi, které žijí rizikovým způsobem života, a mají sníženou soběstačnost</w:t>
            </w:r>
          </w:p>
        </w:tc>
        <w:tc>
          <w:tcPr>
            <w:tcW w:w="2552" w:type="dxa"/>
          </w:tcPr>
          <w:p w:rsidR="00082BC9" w:rsidRPr="00DB6F21" w:rsidRDefault="00082BC9" w:rsidP="00E72954">
            <w:pPr>
              <w:spacing w:before="60" w:after="60"/>
              <w:rPr>
                <w:rFonts w:cstheme="minorHAnsi"/>
              </w:rPr>
            </w:pPr>
            <w:r w:rsidRPr="00DB6F21">
              <w:rPr>
                <w:rFonts w:cstheme="minorHAnsi"/>
              </w:rPr>
              <w:t>10.S Setkání se zástupci Statutárního města Zlín a s obcemi, které mají vhodnou nemovitost pro tento účel.</w:t>
            </w:r>
          </w:p>
        </w:tc>
        <w:tc>
          <w:tcPr>
            <w:tcW w:w="1275" w:type="dxa"/>
            <w:vAlign w:val="center"/>
          </w:tcPr>
          <w:p w:rsidR="00082BC9" w:rsidRPr="00DB6F21" w:rsidRDefault="00082BC9" w:rsidP="00E72954">
            <w:pPr>
              <w:spacing w:before="60" w:after="60"/>
              <w:rPr>
                <w:rFonts w:cstheme="minorHAnsi"/>
              </w:rPr>
            </w:pPr>
            <w:r w:rsidRPr="00DB6F21">
              <w:rPr>
                <w:rFonts w:cstheme="minorHAnsi"/>
              </w:rPr>
              <w:t>ČÁSTEČNĚ</w:t>
            </w:r>
          </w:p>
        </w:tc>
      </w:tr>
    </w:tbl>
    <w:p w:rsidR="00082BC9" w:rsidRPr="00DB6F21" w:rsidRDefault="00082BC9" w:rsidP="00082BC9">
      <w:pPr>
        <w:spacing w:before="120" w:after="120"/>
        <w:jc w:val="both"/>
        <w:rPr>
          <w:rFonts w:cstheme="minorHAnsi"/>
          <w:i/>
        </w:rPr>
      </w:pPr>
      <w:r w:rsidRPr="00DB6F21">
        <w:rPr>
          <w:rFonts w:cstheme="minorHAnsi"/>
          <w:i/>
        </w:rPr>
        <w:t xml:space="preserve">Dne 15. 5. 2019 se uskutečnila předběžná tržní konzultace k přípravě veřejné zakázky „SSL – Domovy se zvláštním režimem – pro osoby závislé na návykových látkách“. Jejím účelem bylo získat objektivní informace o možnostech poskytovatelů sociálních služeb a informace vedoucí ke správnému nastavení zadávacích podmínek veřejné zakázky. Předmětem zakázky bude výběr provozovatele služby Domova se zvláštním režimem dle § 50 zákona o sociálních službách ve Zlínském kraji s max. kapacitou 40 lůžek.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11.</w:t>
            </w:r>
          </w:p>
        </w:tc>
        <w:tc>
          <w:tcPr>
            <w:tcW w:w="4394" w:type="dxa"/>
          </w:tcPr>
          <w:p w:rsidR="00082BC9" w:rsidRPr="00DB6F21" w:rsidRDefault="00082BC9" w:rsidP="00E72954">
            <w:pPr>
              <w:spacing w:before="60" w:after="60"/>
              <w:rPr>
                <w:rFonts w:cstheme="minorHAnsi"/>
                <w:b/>
              </w:rPr>
            </w:pPr>
            <w:r w:rsidRPr="00DB6F21">
              <w:rPr>
                <w:rFonts w:cstheme="minorHAnsi"/>
                <w:b/>
              </w:rPr>
              <w:t>Podpora při realizaci opatření vedoucích ke zlepšení bezbariérovosti sociálních služeb</w:t>
            </w:r>
          </w:p>
        </w:tc>
        <w:tc>
          <w:tcPr>
            <w:tcW w:w="2552" w:type="dxa"/>
          </w:tcPr>
          <w:p w:rsidR="00082BC9" w:rsidRPr="00DB6F21" w:rsidRDefault="00082BC9" w:rsidP="00E72954">
            <w:pPr>
              <w:spacing w:before="60" w:after="60"/>
              <w:rPr>
                <w:rFonts w:cstheme="minorHAnsi"/>
              </w:rPr>
            </w:pPr>
            <w:r w:rsidRPr="00DB6F21">
              <w:rPr>
                <w:rFonts w:cstheme="minorHAnsi"/>
              </w:rPr>
              <w:t>11.S Příprava postupu pro vstup do sítě sociálních služeb, které jsou bezbariérové.</w:t>
            </w:r>
          </w:p>
        </w:tc>
        <w:tc>
          <w:tcPr>
            <w:tcW w:w="1275" w:type="dxa"/>
            <w:vAlign w:val="center"/>
          </w:tcPr>
          <w:p w:rsidR="00082BC9" w:rsidRPr="00DB6F21" w:rsidRDefault="00082BC9" w:rsidP="00E72954">
            <w:pPr>
              <w:spacing w:before="60" w:after="60"/>
              <w:rPr>
                <w:rFonts w:cstheme="minorHAnsi"/>
              </w:rPr>
            </w:pPr>
            <w:r w:rsidRPr="00DB6F21">
              <w:rPr>
                <w:rFonts w:cstheme="minorHAnsi"/>
              </w:rPr>
              <w:t>ČÁSTEČNĚ</w:t>
            </w:r>
          </w:p>
        </w:tc>
      </w:tr>
    </w:tbl>
    <w:p w:rsidR="00082BC9" w:rsidRDefault="00082BC9" w:rsidP="00435661">
      <w:pPr>
        <w:spacing w:after="0" w:line="240" w:lineRule="auto"/>
        <w:jc w:val="both"/>
        <w:rPr>
          <w:rFonts w:cstheme="minorHAnsi"/>
          <w:i/>
        </w:rPr>
      </w:pPr>
      <w:r w:rsidRPr="00DB6F21">
        <w:rPr>
          <w:rFonts w:cstheme="minorHAnsi"/>
          <w:i/>
        </w:rPr>
        <w:t xml:space="preserve">V rámci setkání poskytovatelů sociálních služeb </w:t>
      </w:r>
      <w:r w:rsidR="00435661">
        <w:rPr>
          <w:rFonts w:cstheme="minorHAnsi"/>
          <w:i/>
        </w:rPr>
        <w:t xml:space="preserve">ZK </w:t>
      </w:r>
      <w:r w:rsidRPr="00DB6F21">
        <w:rPr>
          <w:rFonts w:cstheme="minorHAnsi"/>
          <w:i/>
        </w:rPr>
        <w:t xml:space="preserve">dne 30. 10. 2019 </w:t>
      </w:r>
      <w:r w:rsidR="00435661" w:rsidRPr="00435661">
        <w:rPr>
          <w:rFonts w:cstheme="minorHAnsi"/>
          <w:i/>
        </w:rPr>
        <w:t>prezentoval příklady dobré praxe v oblasti přístupu k odstranění komunikačních bariér.</w:t>
      </w:r>
    </w:p>
    <w:p w:rsidR="00082BC9" w:rsidRDefault="00082BC9" w:rsidP="00082BC9">
      <w:pPr>
        <w:spacing w:after="0" w:line="240" w:lineRule="auto"/>
        <w:jc w:val="both"/>
        <w:rPr>
          <w:rFonts w:cstheme="minorHAnsi"/>
          <w:i/>
        </w:rPr>
      </w:pPr>
    </w:p>
    <w:p w:rsidR="00082BC9" w:rsidRDefault="00082BC9" w:rsidP="00082BC9">
      <w:pPr>
        <w:spacing w:after="0" w:line="240" w:lineRule="auto"/>
        <w:jc w:val="both"/>
        <w:rPr>
          <w:rFonts w:cstheme="minorHAnsi"/>
          <w:i/>
        </w:rPr>
      </w:pPr>
    </w:p>
    <w:p w:rsidR="00082BC9" w:rsidRDefault="00082BC9" w:rsidP="00082BC9">
      <w:pPr>
        <w:spacing w:after="0" w:line="240" w:lineRule="auto"/>
        <w:jc w:val="both"/>
        <w:rPr>
          <w:rFonts w:cstheme="minorHAnsi"/>
          <w:i/>
        </w:rPr>
      </w:pPr>
    </w:p>
    <w:p w:rsidR="00082BC9" w:rsidRDefault="00082BC9" w:rsidP="00082BC9">
      <w:pPr>
        <w:spacing w:after="0" w:line="240" w:lineRule="auto"/>
        <w:jc w:val="both"/>
        <w:rPr>
          <w:rFonts w:cstheme="minorHAnsi"/>
          <w:i/>
        </w:rPr>
      </w:pPr>
    </w:p>
    <w:p w:rsidR="00082BC9" w:rsidRDefault="00082BC9" w:rsidP="00082BC9">
      <w:pPr>
        <w:spacing w:after="0" w:line="240" w:lineRule="auto"/>
        <w:jc w:val="both"/>
        <w:rPr>
          <w:rFonts w:cstheme="minorHAnsi"/>
          <w:i/>
        </w:rPr>
      </w:pPr>
    </w:p>
    <w:p w:rsidR="00082BC9" w:rsidRDefault="00082BC9" w:rsidP="00082BC9">
      <w:pPr>
        <w:spacing w:after="0" w:line="240" w:lineRule="auto"/>
        <w:jc w:val="both"/>
        <w:rPr>
          <w:rFonts w:cstheme="minorHAnsi"/>
          <w:i/>
        </w:rPr>
      </w:pPr>
    </w:p>
    <w:p w:rsidR="00082BC9" w:rsidRDefault="00082BC9" w:rsidP="00082BC9">
      <w:pPr>
        <w:spacing w:after="0" w:line="240" w:lineRule="auto"/>
        <w:jc w:val="both"/>
        <w:rPr>
          <w:rFonts w:cstheme="minorHAnsi"/>
          <w:i/>
        </w:rPr>
      </w:pPr>
    </w:p>
    <w:p w:rsidR="00082BC9" w:rsidRDefault="00082BC9" w:rsidP="00082BC9">
      <w:pPr>
        <w:spacing w:after="0" w:line="240" w:lineRule="auto"/>
        <w:jc w:val="both"/>
        <w:rPr>
          <w:rFonts w:cstheme="minorHAnsi"/>
          <w:i/>
        </w:rPr>
      </w:pPr>
    </w:p>
    <w:p w:rsidR="00082BC9" w:rsidRDefault="00082BC9" w:rsidP="00082BC9">
      <w:pPr>
        <w:spacing w:after="0" w:line="240" w:lineRule="auto"/>
        <w:jc w:val="both"/>
        <w:rPr>
          <w:rFonts w:cstheme="minorHAnsi"/>
          <w:i/>
        </w:rPr>
      </w:pPr>
    </w:p>
    <w:p w:rsidR="00082BC9" w:rsidRDefault="00082BC9" w:rsidP="00082BC9">
      <w:pPr>
        <w:spacing w:after="0" w:line="240" w:lineRule="auto"/>
        <w:jc w:val="both"/>
        <w:rPr>
          <w:rFonts w:cstheme="minorHAnsi"/>
          <w:i/>
        </w:rPr>
      </w:pPr>
    </w:p>
    <w:p w:rsidR="00082BC9" w:rsidRDefault="00082BC9" w:rsidP="00082BC9">
      <w:pPr>
        <w:spacing w:after="0" w:line="240" w:lineRule="auto"/>
        <w:jc w:val="both"/>
        <w:rPr>
          <w:rFonts w:cstheme="minorHAnsi"/>
          <w:i/>
        </w:rPr>
      </w:pPr>
    </w:p>
    <w:p w:rsidR="00435661" w:rsidRDefault="00435661" w:rsidP="00082BC9">
      <w:pPr>
        <w:spacing w:after="0" w:line="240" w:lineRule="auto"/>
        <w:jc w:val="both"/>
        <w:rPr>
          <w:rFonts w:cstheme="minorHAnsi"/>
          <w:i/>
        </w:rPr>
      </w:pPr>
    </w:p>
    <w:p w:rsidR="00435661" w:rsidRDefault="00435661" w:rsidP="00082BC9">
      <w:pPr>
        <w:spacing w:after="0" w:line="240" w:lineRule="auto"/>
        <w:jc w:val="both"/>
        <w:rPr>
          <w:rFonts w:cstheme="minorHAnsi"/>
          <w:i/>
        </w:rPr>
      </w:pPr>
    </w:p>
    <w:p w:rsidR="00435661" w:rsidRDefault="00435661" w:rsidP="00082BC9">
      <w:pPr>
        <w:spacing w:after="0" w:line="240" w:lineRule="auto"/>
        <w:jc w:val="both"/>
        <w:rPr>
          <w:rFonts w:cstheme="minorHAnsi"/>
          <w:i/>
        </w:rPr>
      </w:pPr>
    </w:p>
    <w:p w:rsidR="00435661" w:rsidRDefault="00435661" w:rsidP="00082BC9">
      <w:pPr>
        <w:spacing w:after="0" w:line="240" w:lineRule="auto"/>
        <w:jc w:val="both"/>
        <w:rPr>
          <w:rFonts w:cstheme="minorHAnsi"/>
          <w:i/>
        </w:rPr>
      </w:pPr>
    </w:p>
    <w:p w:rsidR="00435661" w:rsidRDefault="00435661" w:rsidP="00082BC9">
      <w:pPr>
        <w:spacing w:after="0" w:line="240" w:lineRule="auto"/>
        <w:jc w:val="both"/>
        <w:rPr>
          <w:rFonts w:cstheme="minorHAnsi"/>
          <w:i/>
        </w:rPr>
      </w:pPr>
    </w:p>
    <w:p w:rsidR="00082BC9" w:rsidRDefault="00082BC9" w:rsidP="00082BC9">
      <w:pPr>
        <w:spacing w:after="0" w:line="240" w:lineRule="auto"/>
        <w:jc w:val="both"/>
        <w:rPr>
          <w:rFonts w:cstheme="minorHAnsi"/>
          <w:i/>
        </w:rPr>
      </w:pPr>
    </w:p>
    <w:p w:rsidR="00082BC9" w:rsidRDefault="00082BC9" w:rsidP="00082BC9">
      <w:pPr>
        <w:spacing w:after="0" w:line="240" w:lineRule="auto"/>
        <w:jc w:val="both"/>
        <w:rPr>
          <w:rFonts w:cstheme="minorHAnsi"/>
          <w:i/>
        </w:rPr>
      </w:pPr>
    </w:p>
    <w:p w:rsidR="008A7774" w:rsidRDefault="008A7774" w:rsidP="00082BC9">
      <w:pPr>
        <w:spacing w:after="0" w:line="240" w:lineRule="auto"/>
        <w:jc w:val="both"/>
        <w:rPr>
          <w:rFonts w:cstheme="minorHAnsi"/>
          <w:i/>
        </w:rPr>
      </w:pPr>
    </w:p>
    <w:p w:rsidR="008A7774" w:rsidRDefault="008A7774" w:rsidP="00082BC9">
      <w:pPr>
        <w:spacing w:after="0" w:line="240" w:lineRule="auto"/>
        <w:jc w:val="both"/>
        <w:rPr>
          <w:rFonts w:cstheme="minorHAnsi"/>
          <w:i/>
        </w:rPr>
      </w:pPr>
    </w:p>
    <w:p w:rsidR="008A7774" w:rsidRDefault="008A7774" w:rsidP="00082BC9">
      <w:pPr>
        <w:spacing w:after="0" w:line="240" w:lineRule="auto"/>
        <w:jc w:val="both"/>
        <w:rPr>
          <w:rFonts w:cstheme="minorHAnsi"/>
          <w:i/>
        </w:rPr>
      </w:pPr>
    </w:p>
    <w:p w:rsidR="008A7774" w:rsidRPr="00DB6F21" w:rsidRDefault="008A7774" w:rsidP="00082BC9">
      <w:pPr>
        <w:spacing w:after="0" w:line="240" w:lineRule="auto"/>
        <w:jc w:val="both"/>
        <w:rPr>
          <w:rFonts w:cstheme="minorHAnsi"/>
          <w:i/>
        </w:rPr>
      </w:pPr>
    </w:p>
    <w:p w:rsidR="00082BC9" w:rsidRPr="00DB6F21" w:rsidRDefault="00082BC9" w:rsidP="00082BC9">
      <w:pPr>
        <w:rPr>
          <w:rFonts w:cstheme="minorHAnsi"/>
          <w:b/>
        </w:rPr>
      </w:pPr>
      <w:bookmarkStart w:id="1" w:name="_Toc5804148"/>
      <w:r w:rsidRPr="00DB6F21">
        <w:rPr>
          <w:rFonts w:cstheme="minorHAnsi"/>
          <w:b/>
        </w:rPr>
        <w:lastRenderedPageBreak/>
        <w:t xml:space="preserve">Věcná opatření pro rok 2019 </w:t>
      </w:r>
      <w:bookmarkEnd w:id="1"/>
    </w:p>
    <w:p w:rsidR="00082BC9" w:rsidRPr="00DB6F21" w:rsidRDefault="00082BC9" w:rsidP="00082BC9">
      <w:pPr>
        <w:spacing w:before="120" w:after="120"/>
        <w:jc w:val="both"/>
        <w:rPr>
          <w:rFonts w:cstheme="minorHAnsi"/>
        </w:rPr>
      </w:pPr>
      <w:r w:rsidRPr="00DB6F21">
        <w:rPr>
          <w:rFonts w:cstheme="minorHAnsi"/>
        </w:rPr>
        <w:t>Věcná opatření pro rok 2019 byla tvořena opatřeními, která se zaměřují na zajištění dostupnosti sociálních služeb na území Zlínského kraje a systémovými opatřeními, jejichž cílem je plnění průřezového tématu v rámci priorit cílové skupiny.</w:t>
      </w:r>
    </w:p>
    <w:p w:rsidR="00082BC9" w:rsidRPr="00DB6F21" w:rsidRDefault="00082BC9" w:rsidP="00082BC9">
      <w:pPr>
        <w:rPr>
          <w:rFonts w:cstheme="minorHAnsi"/>
          <w:b/>
        </w:rPr>
      </w:pPr>
      <w:bookmarkStart w:id="2" w:name="_Toc5804149"/>
      <w:r w:rsidRPr="00DB6F21">
        <w:rPr>
          <w:rFonts w:cstheme="minorHAnsi"/>
          <w:b/>
        </w:rPr>
        <w:t>Cílová skupina Senioři</w:t>
      </w:r>
      <w:bookmarkEnd w:id="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1.1.</w:t>
            </w:r>
          </w:p>
        </w:tc>
        <w:tc>
          <w:tcPr>
            <w:tcW w:w="4394" w:type="dxa"/>
          </w:tcPr>
          <w:p w:rsidR="00082BC9" w:rsidRPr="00DB6F21" w:rsidRDefault="00082BC9" w:rsidP="00E72954">
            <w:pPr>
              <w:spacing w:before="60" w:after="60"/>
              <w:rPr>
                <w:rFonts w:cstheme="minorHAnsi"/>
                <w:b/>
              </w:rPr>
            </w:pPr>
            <w:r w:rsidRPr="00DB6F21">
              <w:rPr>
                <w:rFonts w:cstheme="minorHAnsi"/>
                <w:b/>
              </w:rPr>
              <w:t>Podpora transformace stávajících kapacit pobytových služeb pro seniory na služby pro seniory s Alzheimerovou chorobou a jinými typy demencí vyžadujících celodenní péči jiné osoby</w:t>
            </w:r>
          </w:p>
        </w:tc>
        <w:tc>
          <w:tcPr>
            <w:tcW w:w="2552" w:type="dxa"/>
          </w:tcPr>
          <w:p w:rsidR="00082BC9" w:rsidRPr="00DB6F21" w:rsidRDefault="00082BC9" w:rsidP="00E72954">
            <w:pPr>
              <w:spacing w:before="60" w:after="60"/>
              <w:rPr>
                <w:rFonts w:cstheme="minorHAnsi"/>
              </w:rPr>
            </w:pPr>
            <w:r w:rsidRPr="00DB6F21">
              <w:rPr>
                <w:rFonts w:cstheme="minorHAnsi"/>
              </w:rPr>
              <w:t xml:space="preserve">1.1.2. Zachování počtu lůžek služby domovy pro seniory </w:t>
            </w:r>
          </w:p>
        </w:tc>
        <w:tc>
          <w:tcPr>
            <w:tcW w:w="1275" w:type="dxa"/>
            <w:vAlign w:val="center"/>
          </w:tcPr>
          <w:p w:rsidR="00082BC9" w:rsidRPr="00DB6F21" w:rsidRDefault="00082BC9" w:rsidP="00E72954">
            <w:pPr>
              <w:spacing w:before="60" w:after="60"/>
              <w:rPr>
                <w:rFonts w:cstheme="minorHAnsi"/>
                <w:caps/>
              </w:rPr>
            </w:pPr>
            <w:r w:rsidRPr="00DB6F21">
              <w:rPr>
                <w:rFonts w:cstheme="minorHAnsi"/>
                <w:caps/>
              </w:rPr>
              <w:t>NE</w:t>
            </w:r>
          </w:p>
        </w:tc>
      </w:tr>
    </w:tbl>
    <w:p w:rsidR="00082BC9" w:rsidRDefault="00082BC9" w:rsidP="00082BC9">
      <w:pPr>
        <w:spacing w:before="120" w:after="120"/>
        <w:jc w:val="both"/>
        <w:rPr>
          <w:rFonts w:cstheme="minorHAnsi"/>
          <w:i/>
        </w:rPr>
      </w:pPr>
      <w:r w:rsidRPr="00DB6F21">
        <w:rPr>
          <w:rFonts w:cstheme="minorHAnsi"/>
          <w:i/>
        </w:rPr>
        <w:t xml:space="preserve">K naplnění věcného opatření 1.1.2. v Akčním plánu 2019 pro cílovou skupinu Senioři se váže věcné opatření 2.4.2 v Akčním plánu 2020, kterým je zachování 23 lůžek pobytových služeb pro seniory v SO ORP Uherský Brod. Jedná se o náhradu kapacit z Domova pro seniory Nezdenice, kde v roce 2017 mělo dojít k poklesu kapacit ze 165 o 50 lůžek Domova pro seniory a vzniku 27 lůžek Domova se zvláštním režimem. V průběhu roku 2018 došlo k upřesnění kapacit Domova pro seniory na 133 lůžek a k posunutí termínu realizace vzniku Domova se zvláštním režimem na 1. 2. 2019. K 1. 2. 2019 je cílová kapacita Domova pro seniory </w:t>
      </w:r>
      <w:r w:rsidRPr="008A7774">
        <w:rPr>
          <w:rFonts w:cstheme="minorHAnsi"/>
          <w:i/>
        </w:rPr>
        <w:t>115 lůžek (pokles o 18 lůžek) a vzniklo 27 lůžek kapacity v Domově se zvláštním režimem - pro osoby s Alzheimerovou chorobou a jinými typy demencí. Rozdíl dosud nenahrazené kapacity je 23 lůžek. Realizace opatření 2.4.2 z Akčního plánu 2020 bude víceletá a ke splnění nedošlo, protože lůžka dosud nevznikla.</w:t>
      </w:r>
    </w:p>
    <w:p w:rsidR="008A7774" w:rsidRPr="008A7774" w:rsidRDefault="008A7774" w:rsidP="00082BC9">
      <w:pPr>
        <w:spacing w:before="120" w:after="120"/>
        <w:jc w:val="both"/>
        <w:rPr>
          <w:rFonts w:cstheme="minorHAnsi"/>
          <w: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8A7774" w:rsidTr="00E72954">
        <w:trPr>
          <w:trHeight w:val="283"/>
          <w:tblHeader/>
        </w:trPr>
        <w:tc>
          <w:tcPr>
            <w:tcW w:w="5245" w:type="dxa"/>
            <w:gridSpan w:val="2"/>
            <w:shd w:val="clear" w:color="auto" w:fill="9CC2E5" w:themeFill="accent1" w:themeFillTint="99"/>
          </w:tcPr>
          <w:p w:rsidR="00082BC9" w:rsidRPr="008A7774" w:rsidRDefault="00082BC9" w:rsidP="00E72954">
            <w:pPr>
              <w:spacing w:before="60" w:after="60"/>
              <w:jc w:val="both"/>
              <w:rPr>
                <w:rFonts w:cstheme="minorHAnsi"/>
                <w:b/>
              </w:rPr>
            </w:pPr>
            <w:r w:rsidRPr="008A7774">
              <w:rPr>
                <w:rFonts w:cstheme="minorHAnsi"/>
                <w:b/>
              </w:rPr>
              <w:t>PRIORITA</w:t>
            </w:r>
          </w:p>
        </w:tc>
        <w:tc>
          <w:tcPr>
            <w:tcW w:w="2552" w:type="dxa"/>
            <w:shd w:val="clear" w:color="auto" w:fill="9CC2E5" w:themeFill="accent1" w:themeFillTint="99"/>
          </w:tcPr>
          <w:p w:rsidR="00082BC9" w:rsidRPr="008A7774" w:rsidRDefault="00082BC9" w:rsidP="00E72954">
            <w:pPr>
              <w:spacing w:before="60" w:after="60"/>
              <w:jc w:val="both"/>
              <w:rPr>
                <w:rFonts w:cstheme="minorHAnsi"/>
                <w:b/>
              </w:rPr>
            </w:pPr>
            <w:r w:rsidRPr="008A7774">
              <w:rPr>
                <w:rFonts w:cstheme="minorHAnsi"/>
                <w:b/>
              </w:rPr>
              <w:t>OPATŘENÍ</w:t>
            </w:r>
          </w:p>
        </w:tc>
        <w:tc>
          <w:tcPr>
            <w:tcW w:w="1275" w:type="dxa"/>
            <w:shd w:val="clear" w:color="auto" w:fill="9CC2E5" w:themeFill="accent1" w:themeFillTint="99"/>
          </w:tcPr>
          <w:p w:rsidR="00082BC9" w:rsidRPr="008A7774" w:rsidRDefault="00082BC9" w:rsidP="00E72954">
            <w:pPr>
              <w:spacing w:before="60" w:after="60"/>
              <w:jc w:val="both"/>
              <w:rPr>
                <w:rFonts w:cstheme="minorHAnsi"/>
                <w:b/>
              </w:rPr>
            </w:pPr>
            <w:r w:rsidRPr="008A7774">
              <w:rPr>
                <w:rFonts w:cstheme="minorHAnsi"/>
                <w:b/>
              </w:rPr>
              <w:t>PLNĚNÍ</w:t>
            </w:r>
          </w:p>
        </w:tc>
      </w:tr>
      <w:tr w:rsidR="00082BC9" w:rsidRPr="008A7774" w:rsidTr="00E72954">
        <w:trPr>
          <w:trHeight w:val="283"/>
        </w:trPr>
        <w:tc>
          <w:tcPr>
            <w:tcW w:w="851" w:type="dxa"/>
          </w:tcPr>
          <w:p w:rsidR="00082BC9" w:rsidRPr="008A7774" w:rsidRDefault="00082BC9" w:rsidP="00E72954">
            <w:pPr>
              <w:spacing w:before="120" w:after="120"/>
              <w:rPr>
                <w:rFonts w:cstheme="minorHAnsi"/>
                <w:b/>
              </w:rPr>
            </w:pPr>
            <w:r w:rsidRPr="008A7774">
              <w:rPr>
                <w:rFonts w:cstheme="minorHAnsi"/>
                <w:b/>
              </w:rPr>
              <w:t>1.3.</w:t>
            </w:r>
          </w:p>
        </w:tc>
        <w:tc>
          <w:tcPr>
            <w:tcW w:w="4394" w:type="dxa"/>
          </w:tcPr>
          <w:p w:rsidR="00082BC9" w:rsidRPr="008A7774" w:rsidRDefault="00082BC9" w:rsidP="00E72954">
            <w:pPr>
              <w:spacing w:before="60" w:after="60"/>
              <w:rPr>
                <w:rFonts w:cstheme="minorHAnsi"/>
                <w:b/>
              </w:rPr>
            </w:pPr>
            <w:r w:rsidRPr="008A7774">
              <w:rPr>
                <w:rFonts w:cstheme="minorHAnsi"/>
                <w:b/>
              </w:rPr>
              <w:t>Podpora rozvoje dostupnosti kapacit pobytových služeb pro seniory komunitního typu</w:t>
            </w:r>
          </w:p>
        </w:tc>
        <w:tc>
          <w:tcPr>
            <w:tcW w:w="2552" w:type="dxa"/>
          </w:tcPr>
          <w:p w:rsidR="00082BC9" w:rsidRPr="008A7774" w:rsidRDefault="00082BC9" w:rsidP="00E72954">
            <w:pPr>
              <w:spacing w:before="60" w:after="60"/>
              <w:rPr>
                <w:rFonts w:cstheme="minorHAnsi"/>
              </w:rPr>
            </w:pPr>
            <w:r w:rsidRPr="008A7774">
              <w:rPr>
                <w:rFonts w:cstheme="minorHAnsi"/>
              </w:rPr>
              <w:t>1.3.4. Podpora rozvoje pobytových služeb pro seniory komunitního typu v SO ORP Vsetín</w:t>
            </w:r>
          </w:p>
        </w:tc>
        <w:tc>
          <w:tcPr>
            <w:tcW w:w="1275" w:type="dxa"/>
            <w:vAlign w:val="center"/>
          </w:tcPr>
          <w:p w:rsidR="00082BC9" w:rsidRPr="008A7774" w:rsidRDefault="00082BC9" w:rsidP="00E72954">
            <w:pPr>
              <w:spacing w:before="60" w:after="60"/>
              <w:rPr>
                <w:rFonts w:cstheme="minorHAnsi"/>
              </w:rPr>
            </w:pPr>
            <w:r w:rsidRPr="008A7774">
              <w:rPr>
                <w:rFonts w:cstheme="minorHAnsi"/>
              </w:rPr>
              <w:t>NE</w:t>
            </w:r>
          </w:p>
        </w:tc>
      </w:tr>
    </w:tbl>
    <w:p w:rsidR="00082BC9" w:rsidRPr="00DB6F21" w:rsidRDefault="00082BC9" w:rsidP="00082BC9">
      <w:pPr>
        <w:spacing w:before="120" w:after="120"/>
        <w:jc w:val="both"/>
        <w:rPr>
          <w:rFonts w:cstheme="minorHAnsi"/>
          <w:i/>
        </w:rPr>
      </w:pPr>
      <w:r w:rsidRPr="008A7774">
        <w:rPr>
          <w:rFonts w:cstheme="minorHAnsi"/>
          <w:i/>
        </w:rPr>
        <w:t>Výstupem mělo být 18 lůžek služby Domov pro seniory poskytovatele Charita Nový Hrozenkov (pokračování humanizace v organizaci Sociální služby Vsetín, příspěvková organizace – pokles o 18 lůžek v roce 2019 v Domově pro seniory</w:t>
      </w:r>
      <w:r w:rsidRPr="00DB6F21">
        <w:rPr>
          <w:rFonts w:cstheme="minorHAnsi"/>
          <w:i/>
        </w:rPr>
        <w:t xml:space="preserve"> Karolinka). Opatření přešlo pod číslem 2.4.3 do Akčního plánu 2020 a bude se jednat o víceletou realizaci, jejímž cílem je </w:t>
      </w:r>
      <w:r w:rsidRPr="008A7774">
        <w:rPr>
          <w:rFonts w:cstheme="minorHAnsi"/>
          <w:i/>
        </w:rPr>
        <w:t>náhrada 18 a 18 lůžek služby Domov pro seniory Karolinka poskytovatele Sociální služby Vsetín. Jedná se o pokles kapacity z výchozí 146 lůžek na cílovou kapacitu 110 lůžek, která bude dosažena až po výstavbě Domova pro seniory v obci Hovězí (poskytovatel Charita Nový Hrozenkov). Kapacita v Domově pro seniory Karolinka je průběžně snižována dle principů humanizace. Do doby výstavby bude cílová kapacita 128 lůžek. Opatření nebylo splněno, protože lůžka dosud nevznikla.</w:t>
      </w:r>
    </w:p>
    <w:p w:rsidR="00082BC9" w:rsidRPr="00DB6F21" w:rsidRDefault="00082BC9" w:rsidP="00082BC9">
      <w:pPr>
        <w:spacing w:before="120" w:after="120"/>
        <w:jc w:val="both"/>
        <w:rPr>
          <w:rFonts w:cstheme="minorHAnsi"/>
          <w:i/>
        </w:rPr>
      </w:pPr>
      <w:r w:rsidRPr="00DB6F21">
        <w:rPr>
          <w:rFonts w:cstheme="minorHAnsi"/>
          <w:i/>
        </w:rPr>
        <w:t xml:space="preserve"> </w:t>
      </w:r>
    </w:p>
    <w:p w:rsidR="00082BC9" w:rsidRPr="00DB6F21" w:rsidRDefault="00082BC9" w:rsidP="00082BC9">
      <w:pPr>
        <w:spacing w:before="120" w:after="120"/>
        <w:jc w:val="both"/>
        <w:rPr>
          <w:rFonts w:cstheme="minorHAnsi"/>
          <w: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lastRenderedPageBreak/>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1.3.</w:t>
            </w:r>
          </w:p>
        </w:tc>
        <w:tc>
          <w:tcPr>
            <w:tcW w:w="4394" w:type="dxa"/>
          </w:tcPr>
          <w:p w:rsidR="00082BC9" w:rsidRPr="00DB6F21" w:rsidRDefault="00082BC9" w:rsidP="00E72954">
            <w:pPr>
              <w:spacing w:before="60" w:after="60"/>
              <w:rPr>
                <w:rFonts w:cstheme="minorHAnsi"/>
                <w:b/>
              </w:rPr>
            </w:pPr>
            <w:r w:rsidRPr="00DB6F21">
              <w:rPr>
                <w:rFonts w:cstheme="minorHAnsi"/>
                <w:b/>
              </w:rPr>
              <w:t>Podpora rozvoje dostupnosti kapacit pobytových služeb pro seniory komunitního typu</w:t>
            </w:r>
          </w:p>
        </w:tc>
        <w:tc>
          <w:tcPr>
            <w:tcW w:w="2552" w:type="dxa"/>
          </w:tcPr>
          <w:p w:rsidR="00082BC9" w:rsidRPr="00DB6F21" w:rsidRDefault="00082BC9" w:rsidP="00E72954">
            <w:pPr>
              <w:spacing w:before="60" w:after="60"/>
              <w:rPr>
                <w:rFonts w:cstheme="minorHAnsi"/>
              </w:rPr>
            </w:pPr>
            <w:r w:rsidRPr="00DB6F21">
              <w:rPr>
                <w:rFonts w:cstheme="minorHAnsi"/>
              </w:rPr>
              <w:t>1.3.5. Podpora záměru vzniku kapacit pobytových služeb pro seniory komunitního typu ve Valašské Polance</w:t>
            </w:r>
          </w:p>
        </w:tc>
        <w:tc>
          <w:tcPr>
            <w:tcW w:w="1275" w:type="dxa"/>
            <w:vAlign w:val="center"/>
          </w:tcPr>
          <w:p w:rsidR="00082BC9" w:rsidRPr="00DB6F21" w:rsidRDefault="00082BC9" w:rsidP="00E72954">
            <w:pPr>
              <w:spacing w:before="60" w:after="60"/>
              <w:rPr>
                <w:rFonts w:cstheme="minorHAnsi"/>
              </w:rPr>
            </w:pPr>
            <w:r w:rsidRPr="00DB6F21">
              <w:rPr>
                <w:rFonts w:cstheme="minorHAnsi"/>
              </w:rPr>
              <w:t>NE</w:t>
            </w:r>
          </w:p>
        </w:tc>
      </w:tr>
    </w:tbl>
    <w:p w:rsidR="00082BC9" w:rsidRPr="00DB6F21" w:rsidRDefault="00082BC9" w:rsidP="00082BC9">
      <w:pPr>
        <w:spacing w:before="120" w:after="120"/>
        <w:jc w:val="both"/>
        <w:rPr>
          <w:rFonts w:cstheme="minorHAnsi"/>
          <w:i/>
        </w:rPr>
      </w:pPr>
      <w:r w:rsidRPr="00DB6F21">
        <w:rPr>
          <w:rFonts w:cstheme="minorHAnsi"/>
          <w:i/>
        </w:rPr>
        <w:t xml:space="preserve">Výstupem měl být podpořený investiční záměr vzniku 20 lůžek pobytové sociální služby (náhrada kapacit utlumeného Domova pro seniory Podlesí). Opatření přechází pod číslem 2.4.5 do Akčního plánu 2020. Jeho cílem je náhrada lůžek za zrušení Podlesí – podpořený investiční záměr vzniku 20 lůžek pobytové sociální služby (náhrada kapacit utlumeného </w:t>
      </w:r>
      <w:r w:rsidRPr="008A7774">
        <w:rPr>
          <w:rFonts w:cstheme="minorHAnsi"/>
          <w:i/>
        </w:rPr>
        <w:t>Domova pro seniory Podlesí) + 5 lůžek pobytové odlehčovací služby + 5,00 úvazků v PP v druhu sociální služby Denní stacionář. Opatření nebylo splněno, protože lůžka dosud nevznikla.</w:t>
      </w:r>
    </w:p>
    <w:p w:rsidR="00082BC9" w:rsidRPr="00DB6F21" w:rsidRDefault="00082BC9" w:rsidP="00082BC9">
      <w:pPr>
        <w:spacing w:before="120" w:after="120"/>
        <w:jc w:val="both"/>
        <w:rPr>
          <w:rFonts w:cstheme="minorHAnsi"/>
          <w:i/>
          <w:color w:val="FF000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1.4.</w:t>
            </w:r>
          </w:p>
        </w:tc>
        <w:tc>
          <w:tcPr>
            <w:tcW w:w="4394" w:type="dxa"/>
          </w:tcPr>
          <w:p w:rsidR="00082BC9" w:rsidRPr="00DB6F21" w:rsidRDefault="00082BC9" w:rsidP="00E72954">
            <w:pPr>
              <w:spacing w:before="60" w:after="60"/>
              <w:rPr>
                <w:rFonts w:cstheme="minorHAnsi"/>
                <w:b/>
              </w:rPr>
            </w:pPr>
            <w:r w:rsidRPr="00DB6F21">
              <w:rPr>
                <w:rFonts w:cstheme="minorHAnsi"/>
                <w:b/>
              </w:rPr>
              <w:t>Podpora časové a finanční dostupnosti terénních služeb</w:t>
            </w:r>
          </w:p>
        </w:tc>
        <w:tc>
          <w:tcPr>
            <w:tcW w:w="2552" w:type="dxa"/>
          </w:tcPr>
          <w:p w:rsidR="00082BC9" w:rsidRPr="00DB6F21" w:rsidRDefault="00082BC9" w:rsidP="00E72954">
            <w:pPr>
              <w:spacing w:before="60" w:after="60"/>
              <w:rPr>
                <w:rFonts w:cstheme="minorHAnsi"/>
              </w:rPr>
            </w:pPr>
            <w:r w:rsidRPr="00DB6F21">
              <w:rPr>
                <w:rFonts w:cstheme="minorHAnsi"/>
              </w:rPr>
              <w:t xml:space="preserve">1.4.4. Zvýšení časové dostupnosti pečovatelské služby pro seniory v SO ORP Uherské Hradiště, Uherský Brod a Valašské Meziříčí </w:t>
            </w:r>
          </w:p>
        </w:tc>
        <w:tc>
          <w:tcPr>
            <w:tcW w:w="1275" w:type="dxa"/>
            <w:vAlign w:val="center"/>
          </w:tcPr>
          <w:p w:rsidR="00082BC9" w:rsidRPr="00DB6F21" w:rsidRDefault="00082BC9" w:rsidP="00E72954">
            <w:pPr>
              <w:spacing w:before="60" w:after="60"/>
              <w:rPr>
                <w:rFonts w:cstheme="minorHAnsi"/>
              </w:rPr>
            </w:pPr>
            <w:r w:rsidRPr="00DB6F21">
              <w:rPr>
                <w:rFonts w:cstheme="minorHAnsi"/>
              </w:rPr>
              <w:t>NE</w:t>
            </w:r>
          </w:p>
        </w:tc>
      </w:tr>
    </w:tbl>
    <w:p w:rsidR="00082BC9" w:rsidRPr="00DB6F21" w:rsidRDefault="00082BC9" w:rsidP="00082BC9">
      <w:pPr>
        <w:spacing w:before="120" w:after="120"/>
        <w:jc w:val="both"/>
        <w:rPr>
          <w:rFonts w:cstheme="minorHAnsi"/>
          <w:i/>
        </w:rPr>
      </w:pPr>
      <w:r w:rsidRPr="00DB6F21">
        <w:rPr>
          <w:rFonts w:cstheme="minorHAnsi"/>
          <w:i/>
        </w:rPr>
        <w:t xml:space="preserve">Výstupem mělo být zvýšení počtu hodin v přímé péči včetně cesty minimálně o 1971 hodin přímé péče včetně cesty/rok. </w:t>
      </w:r>
    </w:p>
    <w:p w:rsidR="00082BC9" w:rsidRPr="00DB6F21" w:rsidRDefault="00082BC9" w:rsidP="00082BC9">
      <w:pPr>
        <w:spacing w:before="120" w:after="120"/>
        <w:jc w:val="both"/>
        <w:rPr>
          <w:rFonts w:cstheme="minorHAnsi"/>
          <w:b/>
        </w:rPr>
      </w:pPr>
      <w:r w:rsidRPr="00DB6F21">
        <w:rPr>
          <w:rFonts w:cstheme="minorHAnsi"/>
          <w:i/>
        </w:rPr>
        <w:t xml:space="preserve">V Akčním plánu 2019 je poskytovatel Charita Valašské Meziříčí podpořen jedním úvazkem v PP pro službu Charitní pečovatelská služba Kelč a služba vykázala za rok 2019 celkem 5.677 hodin v přímé péči včetně cesty, což je oproti roku 2018 o 963 hodin více. Poskytovatel Charita Uherské Hradiště byl podpořen jedním úvazkem v PP pro Domácí pečovatelskou službu Uherské Hradiště, počet hodin v přímé péči včetně cesty vykázaný v roce 2019 byl však oproti roku 2018 o 2.853 hodin nižší. </w:t>
      </w:r>
    </w:p>
    <w:p w:rsidR="00082BC9" w:rsidRDefault="00082BC9" w:rsidP="00082BC9">
      <w:pPr>
        <w:spacing w:before="120" w:after="120"/>
        <w:jc w:val="both"/>
        <w:rPr>
          <w:rFonts w:cstheme="minorHAnsi"/>
          <w:i/>
        </w:rPr>
      </w:pPr>
      <w:r w:rsidRPr="00DB6F21">
        <w:rPr>
          <w:rFonts w:cstheme="minorHAnsi"/>
          <w:i/>
        </w:rPr>
        <w:t>Opatření nebylo splněno, protože počet hodin</w:t>
      </w:r>
      <w:r>
        <w:rPr>
          <w:rFonts w:cstheme="minorHAnsi"/>
          <w:i/>
        </w:rPr>
        <w:t xml:space="preserve"> v </w:t>
      </w:r>
      <w:r w:rsidRPr="00DB6F21">
        <w:rPr>
          <w:rFonts w:cstheme="minorHAnsi"/>
          <w:i/>
        </w:rPr>
        <w:t xml:space="preserve"> přímé</w:t>
      </w:r>
      <w:r>
        <w:rPr>
          <w:rFonts w:cstheme="minorHAnsi"/>
          <w:i/>
        </w:rPr>
        <w:t xml:space="preserve"> péči</w:t>
      </w:r>
      <w:r w:rsidRPr="00DB6F21">
        <w:rPr>
          <w:rFonts w:cstheme="minorHAnsi"/>
          <w:i/>
        </w:rPr>
        <w:t xml:space="preserve"> včetně cesty v roce 2019 oproti roku 2018 o 1.890 hodin poklesl. SO ORP Uherský Brod bylo v tomto opatření zahrnuto v daném čase a v průběhu roku 2019 (5.akt. Akčního plánu 2019) bylo území upraveno dle skutečnosti.</w:t>
      </w:r>
    </w:p>
    <w:p w:rsidR="008A7774" w:rsidRPr="00DB6F21" w:rsidRDefault="008A7774" w:rsidP="00082BC9">
      <w:pPr>
        <w:spacing w:before="120" w:after="120"/>
        <w:jc w:val="both"/>
        <w:rPr>
          <w:rFonts w:cstheme="minorHAnsi"/>
          <w: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color w:val="FF0000"/>
              </w:rPr>
            </w:pPr>
            <w:r w:rsidRPr="00DB6F21">
              <w:rPr>
                <w:rFonts w:cstheme="minorHAnsi"/>
                <w:b/>
              </w:rPr>
              <w:t>1.4.</w:t>
            </w:r>
          </w:p>
        </w:tc>
        <w:tc>
          <w:tcPr>
            <w:tcW w:w="4394" w:type="dxa"/>
          </w:tcPr>
          <w:p w:rsidR="00082BC9" w:rsidRPr="00DB6F21" w:rsidRDefault="00082BC9" w:rsidP="00E72954">
            <w:pPr>
              <w:spacing w:before="60" w:after="60"/>
              <w:rPr>
                <w:rFonts w:cstheme="minorHAnsi"/>
                <w:b/>
              </w:rPr>
            </w:pPr>
            <w:r w:rsidRPr="00DB6F21">
              <w:rPr>
                <w:rFonts w:cstheme="minorHAnsi"/>
                <w:b/>
              </w:rPr>
              <w:t>Podpora časové a finanční dostupnosti terénních služeb</w:t>
            </w:r>
          </w:p>
        </w:tc>
        <w:tc>
          <w:tcPr>
            <w:tcW w:w="2552" w:type="dxa"/>
            <w:shd w:val="clear" w:color="auto" w:fill="auto"/>
          </w:tcPr>
          <w:p w:rsidR="00082BC9" w:rsidRPr="00DB6F21" w:rsidRDefault="00082BC9" w:rsidP="00E72954">
            <w:pPr>
              <w:spacing w:before="60" w:after="60"/>
              <w:rPr>
                <w:rFonts w:cstheme="minorHAnsi"/>
              </w:rPr>
            </w:pPr>
            <w:r w:rsidRPr="00DB6F21">
              <w:rPr>
                <w:rFonts w:cstheme="minorHAnsi"/>
              </w:rPr>
              <w:t>1.4.5. Zvýšení časové dostupnosti osobní asistence pro seniory v SO ORP Otrokovice, Vizovice, Zlín</w:t>
            </w:r>
          </w:p>
        </w:tc>
        <w:tc>
          <w:tcPr>
            <w:tcW w:w="1275" w:type="dxa"/>
            <w:vAlign w:val="center"/>
          </w:tcPr>
          <w:p w:rsidR="00082BC9" w:rsidRPr="00DB6F21" w:rsidRDefault="00082BC9" w:rsidP="00E72954">
            <w:pPr>
              <w:spacing w:before="60" w:after="60"/>
              <w:rPr>
                <w:rFonts w:cstheme="minorHAnsi"/>
              </w:rPr>
            </w:pPr>
            <w:r w:rsidRPr="00DB6F21">
              <w:rPr>
                <w:rFonts w:cstheme="minorHAnsi"/>
              </w:rPr>
              <w:t>NE</w:t>
            </w:r>
          </w:p>
        </w:tc>
      </w:tr>
    </w:tbl>
    <w:p w:rsidR="00082BC9" w:rsidRPr="00DB6F21" w:rsidRDefault="00082BC9" w:rsidP="00082BC9">
      <w:pPr>
        <w:spacing w:before="120" w:after="120"/>
        <w:jc w:val="both"/>
        <w:rPr>
          <w:rFonts w:cstheme="minorHAnsi"/>
          <w:i/>
          <w:color w:val="000000" w:themeColor="text1"/>
        </w:rPr>
      </w:pPr>
      <w:r w:rsidRPr="00DB6F21">
        <w:rPr>
          <w:rFonts w:cstheme="minorHAnsi"/>
          <w:i/>
        </w:rPr>
        <w:t xml:space="preserve">Výstupem mělo být zvýšení počtu hodin v přímé péči včetně cesty minimálně o 2 955 hodin </w:t>
      </w:r>
      <w:r>
        <w:rPr>
          <w:rFonts w:cstheme="minorHAnsi"/>
          <w:i/>
        </w:rPr>
        <w:t xml:space="preserve">v </w:t>
      </w:r>
      <w:r w:rsidRPr="00DB6F21">
        <w:rPr>
          <w:rFonts w:cstheme="minorHAnsi"/>
          <w:i/>
        </w:rPr>
        <w:t>přímé péč</w:t>
      </w:r>
      <w:r>
        <w:rPr>
          <w:rFonts w:cstheme="minorHAnsi"/>
          <w:i/>
        </w:rPr>
        <w:t>i</w:t>
      </w:r>
      <w:r w:rsidRPr="00DB6F21">
        <w:rPr>
          <w:rFonts w:cstheme="minorHAnsi"/>
          <w:i/>
        </w:rPr>
        <w:t xml:space="preserve"> včetně cesty/rok. Poskytovatel ABAPO, s.r.o. byl podpořen </w:t>
      </w:r>
      <w:r>
        <w:rPr>
          <w:rFonts w:cstheme="minorHAnsi"/>
          <w:i/>
        </w:rPr>
        <w:t>3,0</w:t>
      </w:r>
      <w:r w:rsidRPr="00DB6F21">
        <w:rPr>
          <w:rFonts w:cstheme="minorHAnsi"/>
          <w:i/>
        </w:rPr>
        <w:t xml:space="preserve"> novými úvazky v PP pro službu ABAPO osobní asistence na území SO ORP Otrokovice, Vizovice a Zlín. Poskytovatel za rok 2019 vykázal 23.325 hodin v přímé péči včetně cesty, což je o 1.125 hodin méně oproti roku 2018. Opatření nebylo splněno.</w:t>
      </w:r>
      <w:r w:rsidRPr="00DB6F21">
        <w:rPr>
          <w:rFonts w:cstheme="minorHAnsi"/>
          <w:i/>
          <w:color w:val="000000" w:themeColor="text1"/>
        </w:rPr>
        <w:t xml:space="preserve"> </w:t>
      </w:r>
    </w:p>
    <w:p w:rsidR="00082BC9" w:rsidRPr="00DB6F21" w:rsidRDefault="00082BC9" w:rsidP="00082BC9">
      <w:pPr>
        <w:rPr>
          <w:rFonts w:cstheme="minorHAnsi"/>
          <w:b/>
        </w:rPr>
      </w:pPr>
      <w:bookmarkStart w:id="3" w:name="_Toc5804150"/>
      <w:r w:rsidRPr="00DB6F21">
        <w:rPr>
          <w:rFonts w:cstheme="minorHAnsi"/>
          <w:b/>
        </w:rPr>
        <w:lastRenderedPageBreak/>
        <w:t>Cílová skupina Osoby se zdravotním postižením</w:t>
      </w:r>
      <w:bookmarkEnd w:id="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2.1</w:t>
            </w:r>
          </w:p>
        </w:tc>
        <w:tc>
          <w:tcPr>
            <w:tcW w:w="4394" w:type="dxa"/>
          </w:tcPr>
          <w:p w:rsidR="00082BC9" w:rsidRPr="00DB6F21" w:rsidRDefault="00082BC9" w:rsidP="00E72954">
            <w:pPr>
              <w:spacing w:before="60" w:after="60"/>
              <w:rPr>
                <w:rFonts w:cstheme="minorHAnsi"/>
                <w:b/>
              </w:rPr>
            </w:pPr>
            <w:r w:rsidRPr="00DB6F21">
              <w:rPr>
                <w:rFonts w:cstheme="minorHAnsi"/>
                <w:b/>
              </w:rPr>
              <w:t>Podpora integrace osob s duševním onemocněním formou ambulantních, terénních a vybraných pobytových služeb</w:t>
            </w:r>
          </w:p>
        </w:tc>
        <w:tc>
          <w:tcPr>
            <w:tcW w:w="2552" w:type="dxa"/>
            <w:shd w:val="clear" w:color="auto" w:fill="auto"/>
          </w:tcPr>
          <w:p w:rsidR="00082BC9" w:rsidRPr="00DB6F21" w:rsidRDefault="00082BC9" w:rsidP="00E72954">
            <w:pPr>
              <w:spacing w:before="60" w:after="60"/>
              <w:rPr>
                <w:rFonts w:cstheme="minorHAnsi"/>
              </w:rPr>
            </w:pPr>
            <w:r w:rsidRPr="00DB6F21">
              <w:rPr>
                <w:rFonts w:cstheme="minorHAnsi"/>
              </w:rPr>
              <w:t>2.1.2. Zvýšení kapacit sociální rehabilitace v SO ORP Otrokovice, Vizovice, Zlín</w:t>
            </w:r>
          </w:p>
        </w:tc>
        <w:tc>
          <w:tcPr>
            <w:tcW w:w="1275" w:type="dxa"/>
            <w:vAlign w:val="center"/>
          </w:tcPr>
          <w:p w:rsidR="00082BC9" w:rsidRPr="00DB6F21" w:rsidRDefault="00082BC9" w:rsidP="00E72954">
            <w:pPr>
              <w:spacing w:before="60" w:after="60"/>
              <w:rPr>
                <w:rFonts w:cstheme="minorHAnsi"/>
              </w:rPr>
            </w:pPr>
            <w:r w:rsidRPr="00DB6F21">
              <w:rPr>
                <w:rFonts w:cstheme="minorHAnsi"/>
              </w:rPr>
              <w:t>NE</w:t>
            </w:r>
          </w:p>
        </w:tc>
      </w:tr>
    </w:tbl>
    <w:p w:rsidR="00082BC9" w:rsidRPr="00DB6F21" w:rsidRDefault="00082BC9" w:rsidP="00082BC9">
      <w:pPr>
        <w:spacing w:before="120" w:after="120"/>
        <w:jc w:val="both"/>
        <w:rPr>
          <w:rFonts w:cstheme="minorHAnsi"/>
          <w:i/>
        </w:rPr>
      </w:pPr>
      <w:r w:rsidRPr="00DB6F21">
        <w:rPr>
          <w:rFonts w:cstheme="minorHAnsi"/>
          <w:i/>
        </w:rPr>
        <w:t>Výstupem mělo být zvýšení počtu hodin poskytnutých intervencí minimálně o 1 478 hodin intervencí/rok. Poskytovatel Centrum služeb a podpory Zlín, o.p.s., služba sociální rehabilitace Horizont Zlín, byla podpořena 1,5 úvazky v PP pro území SO ORP Otrokovice, Vizovice a Zlín.  Na základě výkaznictví za rok 2019 bylo vykázáno 7.258 hodin intervencí, což je o 971 hodin intervencí méně, než bylo v roce 2018. Opatření nebylo splněno.</w:t>
      </w:r>
    </w:p>
    <w:p w:rsidR="00082BC9" w:rsidRPr="00DB6F21" w:rsidRDefault="00082BC9" w:rsidP="00082BC9">
      <w:pPr>
        <w:spacing w:before="120" w:after="120"/>
        <w:jc w:val="both"/>
        <w:rPr>
          <w:rFonts w:cstheme="minorHAnsi"/>
          <w:color w:val="FF000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2.2</w:t>
            </w:r>
          </w:p>
        </w:tc>
        <w:tc>
          <w:tcPr>
            <w:tcW w:w="4394" w:type="dxa"/>
          </w:tcPr>
          <w:p w:rsidR="00082BC9" w:rsidRPr="00DB6F21" w:rsidRDefault="00082BC9" w:rsidP="00E72954">
            <w:pPr>
              <w:spacing w:before="60" w:after="60"/>
              <w:rPr>
                <w:rFonts w:cstheme="minorHAnsi"/>
                <w:b/>
              </w:rPr>
            </w:pPr>
            <w:r w:rsidRPr="00DB6F21">
              <w:rPr>
                <w:rFonts w:cstheme="minorHAnsi"/>
                <w:b/>
              </w:rPr>
              <w:t>Podpora transformace kapacit ústavních služeb pro osoby se zdravotním postižením na pobytové služby odpovídající identifikovaným potřebám klientů a osobám v území</w:t>
            </w:r>
          </w:p>
        </w:tc>
        <w:tc>
          <w:tcPr>
            <w:tcW w:w="2552" w:type="dxa"/>
          </w:tcPr>
          <w:p w:rsidR="00082BC9" w:rsidRPr="00DB6F21" w:rsidRDefault="00082BC9" w:rsidP="00E72954">
            <w:pPr>
              <w:spacing w:before="60" w:after="60"/>
              <w:rPr>
                <w:rFonts w:cstheme="minorHAnsi"/>
              </w:rPr>
            </w:pPr>
            <w:r w:rsidRPr="00DB6F21">
              <w:rPr>
                <w:rFonts w:cstheme="minorHAnsi"/>
              </w:rPr>
              <w:t>2.2.4. Podpora transformace pobytových služeb pro osoby se zdravotním postižením v SO ORP Kroměříž</w:t>
            </w:r>
          </w:p>
        </w:tc>
        <w:tc>
          <w:tcPr>
            <w:tcW w:w="1275" w:type="dxa"/>
            <w:vAlign w:val="center"/>
          </w:tcPr>
          <w:p w:rsidR="00082BC9" w:rsidRPr="00DB6F21" w:rsidRDefault="00082BC9" w:rsidP="00E72954">
            <w:pPr>
              <w:spacing w:before="60" w:after="60"/>
              <w:rPr>
                <w:rFonts w:cstheme="minorHAnsi"/>
              </w:rPr>
            </w:pPr>
            <w:r w:rsidRPr="00DB6F21">
              <w:rPr>
                <w:rFonts w:cstheme="minorHAnsi"/>
              </w:rPr>
              <w:t>ANO</w:t>
            </w:r>
          </w:p>
        </w:tc>
      </w:tr>
    </w:tbl>
    <w:p w:rsidR="00082BC9" w:rsidRPr="00DB6F21" w:rsidRDefault="00082BC9" w:rsidP="00082BC9">
      <w:pPr>
        <w:spacing w:before="120" w:after="120"/>
        <w:jc w:val="both"/>
        <w:rPr>
          <w:rFonts w:cstheme="minorHAnsi"/>
          <w:i/>
          <w:color w:val="FF0000"/>
          <w:spacing w:val="-2"/>
        </w:rPr>
      </w:pPr>
      <w:r w:rsidRPr="00DB6F21">
        <w:rPr>
          <w:rFonts w:cstheme="minorHAnsi"/>
          <w:i/>
        </w:rPr>
        <w:t>Výstupem měla být transformace 8 lůžek služby Domovy pro osoby se zdravotním postižením Barborka, poskytovatele Sociální služby města Kroměříže, příspěvková organizace, na 8 lůžek odlehčovací služby. Od 1. 7. 2019 došlo ke snížení počtu lůžek služby Domovy pro osoby se zdravotním postižením ze 140 na 132 lůžek</w:t>
      </w:r>
      <w:r>
        <w:rPr>
          <w:rFonts w:cstheme="minorHAnsi"/>
          <w:i/>
        </w:rPr>
        <w:t>,</w:t>
      </w:r>
      <w:r w:rsidRPr="00DB6F21">
        <w:rPr>
          <w:rFonts w:cstheme="minorHAnsi"/>
          <w:i/>
        </w:rPr>
        <w:t xml:space="preserve"> a zároveň ke vzniku 8 lůžek nové odlehčovací služby Domovy pro osoby se zdravotním postižením Barborka. Opatření bylo splněno.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2.2</w:t>
            </w:r>
          </w:p>
        </w:tc>
        <w:tc>
          <w:tcPr>
            <w:tcW w:w="4394" w:type="dxa"/>
          </w:tcPr>
          <w:p w:rsidR="00082BC9" w:rsidRPr="00DB6F21" w:rsidRDefault="00082BC9" w:rsidP="00E72954">
            <w:pPr>
              <w:spacing w:before="60" w:after="60"/>
              <w:rPr>
                <w:rFonts w:cstheme="minorHAnsi"/>
                <w:b/>
              </w:rPr>
            </w:pPr>
            <w:r w:rsidRPr="00DB6F21">
              <w:rPr>
                <w:rFonts w:cstheme="minorHAnsi"/>
                <w:b/>
              </w:rPr>
              <w:t>Podpora transformace kapacit ústavních služeb pro osoby se zdravotním postižením na pobytové služby odpovídající identifikovaným potřebám klientů a osobám v území</w:t>
            </w:r>
          </w:p>
        </w:tc>
        <w:tc>
          <w:tcPr>
            <w:tcW w:w="2552" w:type="dxa"/>
            <w:shd w:val="clear" w:color="auto" w:fill="auto"/>
          </w:tcPr>
          <w:p w:rsidR="00082BC9" w:rsidRPr="00DB6F21" w:rsidRDefault="00082BC9" w:rsidP="00E72954">
            <w:pPr>
              <w:spacing w:before="60" w:after="60"/>
              <w:rPr>
                <w:rFonts w:cstheme="minorHAnsi"/>
              </w:rPr>
            </w:pPr>
            <w:r w:rsidRPr="00DB6F21">
              <w:rPr>
                <w:rFonts w:cstheme="minorHAnsi"/>
              </w:rPr>
              <w:t>2.2.5. Podpora transformace pobytových služeb pro osoby se zdravotním postižením v SO ORP Zlín</w:t>
            </w:r>
          </w:p>
        </w:tc>
        <w:tc>
          <w:tcPr>
            <w:tcW w:w="1275" w:type="dxa"/>
            <w:vAlign w:val="center"/>
          </w:tcPr>
          <w:p w:rsidR="00082BC9" w:rsidRPr="00DB6F21" w:rsidRDefault="00082BC9" w:rsidP="00E72954">
            <w:pPr>
              <w:spacing w:before="60" w:after="60"/>
              <w:rPr>
                <w:rFonts w:cstheme="minorHAnsi"/>
              </w:rPr>
            </w:pPr>
            <w:r w:rsidRPr="00DB6F21">
              <w:rPr>
                <w:rFonts w:cstheme="minorHAnsi"/>
              </w:rPr>
              <w:t>ANO</w:t>
            </w:r>
          </w:p>
        </w:tc>
      </w:tr>
    </w:tbl>
    <w:p w:rsidR="00082BC9" w:rsidRPr="00DB6F21" w:rsidRDefault="00082BC9" w:rsidP="00082BC9">
      <w:pPr>
        <w:spacing w:before="120" w:after="120"/>
        <w:jc w:val="both"/>
        <w:rPr>
          <w:rFonts w:cstheme="minorHAnsi"/>
          <w:i/>
        </w:rPr>
      </w:pPr>
      <w:r w:rsidRPr="00DB6F21">
        <w:rPr>
          <w:rFonts w:cstheme="minorHAnsi"/>
          <w:i/>
        </w:rPr>
        <w:t xml:space="preserve">Výstupem měla být transformace 4 lůžek služby Hrádek, domov pro osoby se zdravotním postižením Fryšták, poskytovatele Sociální služby pro osoby se zdravotním postižením, příspěvková organizace, na 4 lůžka chráněného bydlení. Opatření bylo v roce 2019 naplněno. </w:t>
      </w:r>
    </w:p>
    <w:p w:rsidR="00082BC9" w:rsidRPr="00DB6F21" w:rsidRDefault="00082BC9" w:rsidP="00082BC9">
      <w:pPr>
        <w:spacing w:after="0"/>
        <w:rPr>
          <w:rFonts w:cstheme="minorHAnsi"/>
          <w:i/>
        </w:rPr>
      </w:pPr>
      <w:r w:rsidRPr="00DB6F21">
        <w:rPr>
          <w:rFonts w:eastAsia="Times New Roman" w:cstheme="minorHAnsi"/>
          <w:i/>
          <w:color w:val="000000"/>
          <w:lang w:eastAsia="cs-CZ"/>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2.2</w:t>
            </w:r>
          </w:p>
        </w:tc>
        <w:tc>
          <w:tcPr>
            <w:tcW w:w="4394" w:type="dxa"/>
          </w:tcPr>
          <w:p w:rsidR="00082BC9" w:rsidRPr="00DB6F21" w:rsidRDefault="00082BC9" w:rsidP="00E72954">
            <w:pPr>
              <w:spacing w:before="60" w:after="60"/>
              <w:rPr>
                <w:rFonts w:cstheme="minorHAnsi"/>
                <w:b/>
              </w:rPr>
            </w:pPr>
            <w:r w:rsidRPr="00DB6F21">
              <w:rPr>
                <w:rFonts w:cstheme="minorHAnsi"/>
                <w:b/>
              </w:rPr>
              <w:t>Podpora transformace kapacit ústavních služeb pro osoby se zdravotním postižením na pobytové služby odpovídající identifikovaným potřebám klientů a osobám v území</w:t>
            </w:r>
          </w:p>
        </w:tc>
        <w:tc>
          <w:tcPr>
            <w:tcW w:w="2552" w:type="dxa"/>
            <w:shd w:val="clear" w:color="auto" w:fill="auto"/>
          </w:tcPr>
          <w:p w:rsidR="00082BC9" w:rsidRPr="00DB6F21" w:rsidRDefault="00082BC9" w:rsidP="00E72954">
            <w:pPr>
              <w:spacing w:before="60" w:after="60"/>
              <w:rPr>
                <w:rFonts w:cstheme="minorHAnsi"/>
              </w:rPr>
            </w:pPr>
            <w:r w:rsidRPr="00DB6F21">
              <w:rPr>
                <w:rFonts w:cstheme="minorHAnsi"/>
              </w:rPr>
              <w:t>2.2.6. Podpora transformace pobytových služeb pro osoby se zdravotním postižením v SO ORP Uherské Hradiště</w:t>
            </w:r>
          </w:p>
        </w:tc>
        <w:tc>
          <w:tcPr>
            <w:tcW w:w="1275" w:type="dxa"/>
            <w:vAlign w:val="center"/>
          </w:tcPr>
          <w:p w:rsidR="00082BC9" w:rsidRPr="00DB6F21" w:rsidRDefault="00082BC9" w:rsidP="00E72954">
            <w:pPr>
              <w:spacing w:before="60" w:after="60"/>
              <w:rPr>
                <w:rFonts w:cstheme="minorHAnsi"/>
              </w:rPr>
            </w:pPr>
            <w:r w:rsidRPr="00DB6F21">
              <w:rPr>
                <w:rFonts w:cstheme="minorHAnsi"/>
              </w:rPr>
              <w:t>ANO</w:t>
            </w:r>
          </w:p>
        </w:tc>
      </w:tr>
    </w:tbl>
    <w:p w:rsidR="00082BC9" w:rsidRPr="00DB6F21" w:rsidRDefault="00082BC9" w:rsidP="00082BC9">
      <w:pPr>
        <w:spacing w:after="0"/>
        <w:rPr>
          <w:rFonts w:cstheme="minorHAnsi"/>
          <w:i/>
        </w:rPr>
      </w:pPr>
    </w:p>
    <w:p w:rsidR="00082BC9" w:rsidRPr="00DB6F21" w:rsidRDefault="00082BC9" w:rsidP="00082BC9">
      <w:pPr>
        <w:autoSpaceDE w:val="0"/>
        <w:autoSpaceDN w:val="0"/>
        <w:adjustRightInd w:val="0"/>
        <w:spacing w:after="0" w:line="240" w:lineRule="auto"/>
        <w:jc w:val="both"/>
        <w:rPr>
          <w:rFonts w:cstheme="minorHAnsi"/>
          <w:i/>
        </w:rPr>
      </w:pPr>
      <w:r w:rsidRPr="00DB6F21">
        <w:rPr>
          <w:rFonts w:cstheme="minorHAnsi"/>
          <w:i/>
        </w:rPr>
        <w:lastRenderedPageBreak/>
        <w:t xml:space="preserve">Výstupem měl být vznik 6 lůžek služby Chráněné bydlení, poskytovatele Sociální služby Uherské Hradiště, příspěvková organizace (obec Boršice) a současně snížení kapacity v DOZP Medlovice. Ke dni 1. 11. 2019 došlo ke snížení kapacity služby Domov pro osoby se zdravotním postižením Medlovice o 5 lůžek a ke snížení kapacity Domova pro osoby se zdravotním postižením Velehrad – </w:t>
      </w:r>
      <w:proofErr w:type="spellStart"/>
      <w:r w:rsidRPr="00DB6F21">
        <w:rPr>
          <w:rFonts w:cstheme="minorHAnsi"/>
          <w:i/>
        </w:rPr>
        <w:t>Vincentinum</w:t>
      </w:r>
      <w:proofErr w:type="spellEnd"/>
      <w:r w:rsidRPr="00DB6F21">
        <w:rPr>
          <w:rFonts w:cstheme="minorHAnsi"/>
          <w:i/>
        </w:rPr>
        <w:t xml:space="preserve"> o 2 lůžka. Zároveň k témuž dni vzniklo 6 lůžek služby chráněné bydlení Boršice (10. akt. Akčního plánu 2019). Opatření bylo v roce 2019 splněno. </w:t>
      </w:r>
    </w:p>
    <w:p w:rsidR="00082BC9" w:rsidRPr="00DB6F21" w:rsidRDefault="00082BC9" w:rsidP="00082BC9">
      <w:pPr>
        <w:spacing w:before="120" w:after="120"/>
        <w:jc w:val="both"/>
        <w:rPr>
          <w:rFonts w:cstheme="minorHAnsi"/>
          <w:i/>
          <w:color w:val="FF000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2.3</w:t>
            </w:r>
          </w:p>
        </w:tc>
        <w:tc>
          <w:tcPr>
            <w:tcW w:w="4394" w:type="dxa"/>
          </w:tcPr>
          <w:p w:rsidR="00082BC9" w:rsidRPr="00DB6F21" w:rsidRDefault="00082BC9" w:rsidP="00E72954">
            <w:pPr>
              <w:spacing w:before="60" w:after="60"/>
              <w:rPr>
                <w:rFonts w:cstheme="minorHAnsi"/>
                <w:b/>
              </w:rPr>
            </w:pPr>
            <w:r w:rsidRPr="00DB6F21">
              <w:rPr>
                <w:rFonts w:cstheme="minorHAnsi"/>
                <w:b/>
              </w:rPr>
              <w:t>Podpora integrace osob se zdravotním postižením prostřednictvím rozvoje ambulantních, terénních služeb v  místech, kde tyto osoby žijí</w:t>
            </w:r>
          </w:p>
        </w:tc>
        <w:tc>
          <w:tcPr>
            <w:tcW w:w="2552" w:type="dxa"/>
            <w:shd w:val="clear" w:color="auto" w:fill="auto"/>
          </w:tcPr>
          <w:p w:rsidR="00082BC9" w:rsidRPr="00DB6F21" w:rsidRDefault="00082BC9" w:rsidP="00E72954">
            <w:pPr>
              <w:spacing w:before="60" w:after="60"/>
              <w:rPr>
                <w:rFonts w:cstheme="minorHAnsi"/>
              </w:rPr>
            </w:pPr>
            <w:r w:rsidRPr="00DB6F21">
              <w:rPr>
                <w:rFonts w:cstheme="minorHAnsi"/>
              </w:rPr>
              <w:t>2.3.2. Podpora vzniku sociální služby sociálně terapeutické dílny v SO ORP Bystřice pod Hostýnem</w:t>
            </w:r>
          </w:p>
        </w:tc>
        <w:tc>
          <w:tcPr>
            <w:tcW w:w="1275" w:type="dxa"/>
            <w:vAlign w:val="center"/>
          </w:tcPr>
          <w:p w:rsidR="00082BC9" w:rsidRPr="00DB6F21" w:rsidRDefault="00082BC9" w:rsidP="00E72954">
            <w:pPr>
              <w:spacing w:before="60" w:after="60"/>
              <w:rPr>
                <w:rFonts w:cstheme="minorHAnsi"/>
              </w:rPr>
            </w:pPr>
            <w:r w:rsidRPr="00DB6F21">
              <w:rPr>
                <w:rFonts w:cstheme="minorHAnsi"/>
              </w:rPr>
              <w:t>ANO</w:t>
            </w:r>
          </w:p>
        </w:tc>
      </w:tr>
    </w:tbl>
    <w:p w:rsidR="00082BC9" w:rsidRPr="00DB6F21" w:rsidRDefault="00082BC9" w:rsidP="00082BC9">
      <w:pPr>
        <w:spacing w:before="120" w:after="120"/>
        <w:jc w:val="both"/>
        <w:rPr>
          <w:rFonts w:cstheme="minorHAnsi"/>
          <w:i/>
        </w:rPr>
      </w:pPr>
      <w:r w:rsidRPr="00DB6F21">
        <w:rPr>
          <w:rFonts w:cstheme="minorHAnsi"/>
          <w:i/>
        </w:rPr>
        <w:t xml:space="preserve">Výstupem měla být podpora vzniku sociálně terapeutické dílny v SO ORP Bystřice pod Hostýnem. Poskytovatel Rodinné centrum Knoflík, </w:t>
      </w:r>
      <w:proofErr w:type="spellStart"/>
      <w:r w:rsidRPr="00DB6F21">
        <w:rPr>
          <w:rFonts w:cstheme="minorHAnsi"/>
          <w:i/>
        </w:rPr>
        <w:t>z.s</w:t>
      </w:r>
      <w:proofErr w:type="spellEnd"/>
      <w:r w:rsidRPr="00DB6F21">
        <w:rPr>
          <w:rFonts w:cstheme="minorHAnsi"/>
          <w:i/>
        </w:rPr>
        <w:t>. byl podpořen 1,5 novým úvazkem v PP, služba sociálně terapeutické dílny do konce roku 2019 nevznikla, ale na základě předloženého rozvojového záměru do mimořádné výzvy pro rok 2020 byl vybrán poskytovatel NADĚJE, pobočka Otrokovice a Vsetín, který od 1. 1. 2020 zahá</w:t>
      </w:r>
      <w:r>
        <w:rPr>
          <w:rFonts w:cstheme="minorHAnsi"/>
          <w:i/>
        </w:rPr>
        <w:t>jil</w:t>
      </w:r>
      <w:r w:rsidRPr="00DB6F21">
        <w:rPr>
          <w:rFonts w:cstheme="minorHAnsi"/>
          <w:i/>
        </w:rPr>
        <w:t xml:space="preserve"> provoz v SO ORP Bystřice pod Hostýnem s kapacitou 2,30 úvazků v PP pod stávajícím ID 8065540. Opatření bylo splněno.</w:t>
      </w:r>
    </w:p>
    <w:p w:rsidR="008A7774" w:rsidRDefault="008A7774" w:rsidP="00082BC9">
      <w:pPr>
        <w:rPr>
          <w:rFonts w:cstheme="minorHAnsi"/>
          <w:b/>
        </w:rPr>
      </w:pPr>
      <w:bookmarkStart w:id="4" w:name="_Toc5804151"/>
    </w:p>
    <w:p w:rsidR="00082BC9" w:rsidRPr="00DB6F21" w:rsidRDefault="00082BC9" w:rsidP="00082BC9">
      <w:pPr>
        <w:rPr>
          <w:rFonts w:cstheme="minorHAnsi"/>
          <w:b/>
        </w:rPr>
      </w:pPr>
      <w:r w:rsidRPr="00DB6F21">
        <w:rPr>
          <w:rFonts w:cstheme="minorHAnsi"/>
          <w:b/>
        </w:rPr>
        <w:t>Cílová skupina Rodiny s dětmi</w:t>
      </w:r>
      <w:bookmarkEnd w:id="4"/>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color w:val="FF0000"/>
              </w:rPr>
            </w:pPr>
            <w:r w:rsidRPr="00DB6F21">
              <w:rPr>
                <w:rFonts w:cstheme="minorHAnsi"/>
                <w:b/>
              </w:rPr>
              <w:t>3.1</w:t>
            </w:r>
          </w:p>
        </w:tc>
        <w:tc>
          <w:tcPr>
            <w:tcW w:w="4394" w:type="dxa"/>
          </w:tcPr>
          <w:p w:rsidR="00082BC9" w:rsidRPr="00DB6F21" w:rsidRDefault="00082BC9" w:rsidP="00E72954">
            <w:pPr>
              <w:spacing w:before="60" w:after="60"/>
              <w:rPr>
                <w:rFonts w:cstheme="minorHAnsi"/>
                <w:b/>
              </w:rPr>
            </w:pPr>
            <w:r w:rsidRPr="00DB6F21">
              <w:rPr>
                <w:rFonts w:cstheme="minorHAnsi"/>
                <w:b/>
              </w:rPr>
              <w:t>Udržitelnost a podpora rozvoje ambulantních a terénních služeb pro ohrožené rodiny a děti, které zabraňují umístění dětí do ústavních pobytových služeb</w:t>
            </w:r>
          </w:p>
        </w:tc>
        <w:tc>
          <w:tcPr>
            <w:tcW w:w="2552" w:type="dxa"/>
          </w:tcPr>
          <w:p w:rsidR="00082BC9" w:rsidRPr="00DB6F21" w:rsidRDefault="00082BC9" w:rsidP="00E72954">
            <w:pPr>
              <w:spacing w:before="60" w:after="60"/>
              <w:rPr>
                <w:rFonts w:cstheme="minorHAnsi"/>
              </w:rPr>
            </w:pPr>
            <w:r w:rsidRPr="00DB6F21">
              <w:rPr>
                <w:rFonts w:cstheme="minorHAnsi"/>
              </w:rPr>
              <w:t>3.1.5. Podpora záměru vzniku služby odborného sociálního poradenství v SO ORP Luhačovice a Valašské Klobouky a rozšíření kapacity v SO ORP Rožnov pod Radhoštěm</w:t>
            </w:r>
          </w:p>
        </w:tc>
        <w:tc>
          <w:tcPr>
            <w:tcW w:w="1275" w:type="dxa"/>
            <w:vAlign w:val="center"/>
          </w:tcPr>
          <w:p w:rsidR="00082BC9" w:rsidRPr="00DB6F21" w:rsidRDefault="00082BC9" w:rsidP="00E72954">
            <w:pPr>
              <w:spacing w:before="60" w:after="60"/>
              <w:rPr>
                <w:rFonts w:cstheme="minorHAnsi"/>
                <w:color w:val="FF0000"/>
              </w:rPr>
            </w:pPr>
            <w:r w:rsidRPr="00DB6F21">
              <w:rPr>
                <w:rFonts w:cstheme="minorHAnsi"/>
              </w:rPr>
              <w:t>ANO</w:t>
            </w:r>
          </w:p>
        </w:tc>
      </w:tr>
    </w:tbl>
    <w:p w:rsidR="00082BC9" w:rsidRPr="00DB6F21" w:rsidRDefault="00082BC9" w:rsidP="00082BC9">
      <w:pPr>
        <w:jc w:val="both"/>
        <w:rPr>
          <w:rFonts w:cstheme="minorHAnsi"/>
          <w:i/>
        </w:rPr>
      </w:pPr>
    </w:p>
    <w:p w:rsidR="00082BC9" w:rsidRDefault="00082BC9" w:rsidP="00082BC9">
      <w:pPr>
        <w:jc w:val="both"/>
        <w:rPr>
          <w:rFonts w:cstheme="minorHAnsi"/>
          <w:i/>
        </w:rPr>
      </w:pPr>
      <w:r w:rsidRPr="00DB6F21">
        <w:rPr>
          <w:rFonts w:cstheme="minorHAnsi"/>
          <w:i/>
        </w:rPr>
        <w:t xml:space="preserve">Výstupem mělo být zvýšení počtu hodin poskytnutých intervencí minimálně o 1 379 hodin intervencí/rok. Poskytovatel ONŽ - pomoc a poradenství pro ženy a dívky, </w:t>
      </w:r>
      <w:proofErr w:type="spellStart"/>
      <w:r w:rsidRPr="00DB6F21">
        <w:rPr>
          <w:rFonts w:cstheme="minorHAnsi"/>
          <w:i/>
        </w:rPr>
        <w:t>z.s</w:t>
      </w:r>
      <w:proofErr w:type="spellEnd"/>
      <w:r w:rsidRPr="00DB6F21">
        <w:rPr>
          <w:rFonts w:cstheme="minorHAnsi"/>
          <w:i/>
        </w:rPr>
        <w:t xml:space="preserve">., poradna Rožnov byla v roce 2019 podpořena 0,5 úvazkem v PP. Služba vykázala v roce 2019 </w:t>
      </w:r>
      <w:r>
        <w:rPr>
          <w:rFonts w:cstheme="minorHAnsi"/>
          <w:i/>
        </w:rPr>
        <w:t xml:space="preserve">celkem </w:t>
      </w:r>
      <w:r w:rsidRPr="00DB6F21">
        <w:rPr>
          <w:rFonts w:cstheme="minorHAnsi"/>
          <w:i/>
        </w:rPr>
        <w:t>1</w:t>
      </w:r>
      <w:r>
        <w:rPr>
          <w:rFonts w:cstheme="minorHAnsi"/>
          <w:i/>
        </w:rPr>
        <w:t xml:space="preserve"> </w:t>
      </w:r>
      <w:r w:rsidRPr="00DB6F21">
        <w:rPr>
          <w:rFonts w:cstheme="minorHAnsi"/>
          <w:i/>
        </w:rPr>
        <w:t>420 hodin intervencí, což je o 434 hodin intervencí více oproti roku 2018. Pro SO ORP Luhačovice a Valašské Klobouky bylo 1,30 úvazku v PP podpořeno Vzdělávací, sociální a kulturní středisko při Nadaci Jana Pivečky, o.p.s., vznikla od 1. 1. 2019 služba odborné sociální poradenství, která za rok 2019 vykázala 1</w:t>
      </w:r>
      <w:r>
        <w:rPr>
          <w:rFonts w:cstheme="minorHAnsi"/>
          <w:i/>
        </w:rPr>
        <w:t xml:space="preserve"> </w:t>
      </w:r>
      <w:r w:rsidRPr="00DB6F21">
        <w:rPr>
          <w:rFonts w:cstheme="minorHAnsi"/>
          <w:i/>
        </w:rPr>
        <w:t>105 hodin intervencí. Počet hodin poskytnutých intervencí se v roce 2019 oproti roku 2018 zvýšil o 1</w:t>
      </w:r>
      <w:r>
        <w:rPr>
          <w:rFonts w:cstheme="minorHAnsi"/>
          <w:i/>
        </w:rPr>
        <w:t xml:space="preserve"> </w:t>
      </w:r>
      <w:r w:rsidRPr="00DB6F21">
        <w:rPr>
          <w:rFonts w:cstheme="minorHAnsi"/>
          <w:i/>
        </w:rPr>
        <w:t xml:space="preserve">539 hodin. Opatření bylo splněno. </w:t>
      </w:r>
    </w:p>
    <w:p w:rsidR="008A7774" w:rsidRDefault="008A7774" w:rsidP="00082BC9">
      <w:pPr>
        <w:jc w:val="both"/>
        <w:rPr>
          <w:rFonts w:cstheme="minorHAnsi"/>
          <w:i/>
        </w:rPr>
      </w:pPr>
    </w:p>
    <w:p w:rsidR="008A7774" w:rsidRPr="00DB6F21" w:rsidRDefault="008A7774" w:rsidP="00082BC9">
      <w:pPr>
        <w:jc w:val="both"/>
        <w:rPr>
          <w:rFonts w:cs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lastRenderedPageBreak/>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color w:val="FF0000"/>
              </w:rPr>
            </w:pPr>
            <w:r w:rsidRPr="00DB6F21">
              <w:rPr>
                <w:rFonts w:cstheme="minorHAnsi"/>
                <w:b/>
              </w:rPr>
              <w:t>3.1</w:t>
            </w:r>
          </w:p>
        </w:tc>
        <w:tc>
          <w:tcPr>
            <w:tcW w:w="4394" w:type="dxa"/>
          </w:tcPr>
          <w:p w:rsidR="00082BC9" w:rsidRPr="00DB6F21" w:rsidRDefault="00082BC9" w:rsidP="00E72954">
            <w:pPr>
              <w:spacing w:before="60" w:after="60"/>
              <w:rPr>
                <w:rFonts w:cstheme="minorHAnsi"/>
                <w:b/>
              </w:rPr>
            </w:pPr>
            <w:r w:rsidRPr="00DB6F21">
              <w:rPr>
                <w:rFonts w:cstheme="minorHAnsi"/>
                <w:b/>
              </w:rPr>
              <w:t>Udržitelnost a podpora rozvoje ambulantních a terénních služeb pro ohrožené rodiny a děti, které zabraňují umístění dětí do ústavních pobytových služeb</w:t>
            </w:r>
          </w:p>
        </w:tc>
        <w:tc>
          <w:tcPr>
            <w:tcW w:w="2552" w:type="dxa"/>
          </w:tcPr>
          <w:p w:rsidR="00082BC9" w:rsidRPr="00DB6F21" w:rsidRDefault="00082BC9" w:rsidP="00E72954">
            <w:pPr>
              <w:spacing w:before="60" w:after="60"/>
              <w:rPr>
                <w:rFonts w:cstheme="minorHAnsi"/>
              </w:rPr>
            </w:pPr>
            <w:r w:rsidRPr="00DB6F21">
              <w:rPr>
                <w:rFonts w:cstheme="minorHAnsi"/>
              </w:rPr>
              <w:t>3.1.6. Podpora záměru rozšíření kapacity služby nízkoprahového zařízení pro děti a mládež v SO ORP Kroměříž</w:t>
            </w:r>
          </w:p>
        </w:tc>
        <w:tc>
          <w:tcPr>
            <w:tcW w:w="1275" w:type="dxa"/>
            <w:vAlign w:val="center"/>
          </w:tcPr>
          <w:p w:rsidR="00082BC9" w:rsidRPr="00DB6F21" w:rsidRDefault="00082BC9" w:rsidP="00E72954">
            <w:pPr>
              <w:spacing w:before="60" w:after="60"/>
              <w:rPr>
                <w:rFonts w:cstheme="minorHAnsi"/>
              </w:rPr>
            </w:pPr>
            <w:r w:rsidRPr="00DB6F21">
              <w:rPr>
                <w:rFonts w:cstheme="minorHAnsi"/>
              </w:rPr>
              <w:t>ANO</w:t>
            </w:r>
          </w:p>
        </w:tc>
      </w:tr>
    </w:tbl>
    <w:p w:rsidR="00082BC9" w:rsidRPr="00DB6F21" w:rsidRDefault="00082BC9" w:rsidP="00082BC9">
      <w:pPr>
        <w:jc w:val="both"/>
        <w:rPr>
          <w:rFonts w:cstheme="minorHAnsi"/>
          <w:color w:val="FF0000"/>
        </w:rPr>
      </w:pPr>
      <w:r w:rsidRPr="00DB6F21">
        <w:rPr>
          <w:rFonts w:cstheme="minorHAnsi"/>
          <w:i/>
        </w:rPr>
        <w:t>Výstupem mělo být zvýšení počtu kontaktů minimálně o 1 149 kontaktů/rok. Poskytovatel Společnost Podané ruce o.p.s. byl podpořen 1,5 úvazkem v PP pro vznik nízkoprahového zařízení pro děti a mládež v Kroměříži. V roce 2019 vykázala služba 2.684 kontaktů, což je o 1.544 kontaktů více než v roce 2018. Opatření bylo splněno.</w:t>
      </w:r>
    </w:p>
    <w:p w:rsidR="00082BC9" w:rsidRPr="00DB6F21" w:rsidRDefault="00082BC9" w:rsidP="00082BC9">
      <w:pPr>
        <w:rPr>
          <w:rFonts w:cstheme="minorHAnsi"/>
          <w:b/>
        </w:rPr>
      </w:pPr>
      <w:bookmarkStart w:id="5" w:name="_Toc5804152"/>
      <w:r w:rsidRPr="00DB6F21">
        <w:rPr>
          <w:rFonts w:cstheme="minorHAnsi"/>
          <w:b/>
        </w:rPr>
        <w:t>Cílová skupina Osoby ohrožené sociálním vyloučením</w:t>
      </w:r>
      <w:bookmarkEnd w:id="5"/>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082BC9" w:rsidRPr="00DB6F21" w:rsidTr="00E72954">
        <w:trPr>
          <w:trHeight w:val="283"/>
          <w:tblHeader/>
        </w:trPr>
        <w:tc>
          <w:tcPr>
            <w:tcW w:w="5245" w:type="dxa"/>
            <w:gridSpan w:val="2"/>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PRIORITA</w:t>
            </w:r>
          </w:p>
        </w:tc>
        <w:tc>
          <w:tcPr>
            <w:tcW w:w="2552"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OPATŘENÍ</w:t>
            </w:r>
          </w:p>
        </w:tc>
        <w:tc>
          <w:tcPr>
            <w:tcW w:w="1275" w:type="dxa"/>
            <w:shd w:val="clear" w:color="auto" w:fill="9CC2E5" w:themeFill="accent1" w:themeFillTint="99"/>
          </w:tcPr>
          <w:p w:rsidR="00082BC9" w:rsidRPr="00DB6F21" w:rsidRDefault="00082BC9" w:rsidP="00E72954">
            <w:pPr>
              <w:spacing w:before="60" w:after="60"/>
              <w:jc w:val="both"/>
              <w:rPr>
                <w:rFonts w:cstheme="minorHAnsi"/>
                <w:b/>
              </w:rPr>
            </w:pPr>
            <w:r w:rsidRPr="00DB6F21">
              <w:rPr>
                <w:rFonts w:cstheme="minorHAnsi"/>
                <w:b/>
              </w:rPr>
              <w:t>PLNĚNÍ</w:t>
            </w:r>
          </w:p>
        </w:tc>
      </w:tr>
      <w:tr w:rsidR="00082BC9" w:rsidRPr="00DB6F21" w:rsidTr="00E72954">
        <w:trPr>
          <w:trHeight w:val="283"/>
        </w:trPr>
        <w:tc>
          <w:tcPr>
            <w:tcW w:w="851" w:type="dxa"/>
          </w:tcPr>
          <w:p w:rsidR="00082BC9" w:rsidRPr="00DB6F21" w:rsidRDefault="00082BC9" w:rsidP="00E72954">
            <w:pPr>
              <w:spacing w:before="120" w:after="120"/>
              <w:rPr>
                <w:rFonts w:cstheme="minorHAnsi"/>
                <w:b/>
              </w:rPr>
            </w:pPr>
            <w:r w:rsidRPr="00DB6F21">
              <w:rPr>
                <w:rFonts w:cstheme="minorHAnsi"/>
                <w:b/>
              </w:rPr>
              <w:t>4.2</w:t>
            </w:r>
          </w:p>
        </w:tc>
        <w:tc>
          <w:tcPr>
            <w:tcW w:w="4394" w:type="dxa"/>
          </w:tcPr>
          <w:p w:rsidR="00082BC9" w:rsidRPr="00DB6F21" w:rsidRDefault="00082BC9" w:rsidP="00E72954">
            <w:pPr>
              <w:spacing w:before="60" w:after="60"/>
              <w:rPr>
                <w:rFonts w:cstheme="minorHAnsi"/>
                <w:b/>
              </w:rPr>
            </w:pPr>
            <w:r w:rsidRPr="00DB6F21">
              <w:rPr>
                <w:rFonts w:cstheme="minorHAnsi"/>
                <w:b/>
              </w:rPr>
              <w:t>Rozvoj ambulantních služeb pro osoby ohrožené sociálním vyloučením ve správních obvodech obcí s rozšířenou působností nad 30 tisíc obyvatel</w:t>
            </w:r>
          </w:p>
        </w:tc>
        <w:tc>
          <w:tcPr>
            <w:tcW w:w="2552" w:type="dxa"/>
          </w:tcPr>
          <w:p w:rsidR="00082BC9" w:rsidRPr="00DB6F21" w:rsidRDefault="00082BC9" w:rsidP="00E72954">
            <w:pPr>
              <w:spacing w:before="60" w:after="60"/>
              <w:rPr>
                <w:rFonts w:cstheme="minorHAnsi"/>
              </w:rPr>
            </w:pPr>
            <w:r w:rsidRPr="00DB6F21">
              <w:rPr>
                <w:rFonts w:cstheme="minorHAnsi"/>
              </w:rPr>
              <w:t>4.2.2. Podpora záměru vzniku služby odborného sociálního poradenství v SO ORP Uherský Brod</w:t>
            </w:r>
          </w:p>
        </w:tc>
        <w:tc>
          <w:tcPr>
            <w:tcW w:w="1275" w:type="dxa"/>
            <w:vAlign w:val="center"/>
          </w:tcPr>
          <w:p w:rsidR="00082BC9" w:rsidRPr="00DB6F21" w:rsidRDefault="00082BC9" w:rsidP="00E72954">
            <w:pPr>
              <w:spacing w:before="60" w:after="60"/>
              <w:rPr>
                <w:rFonts w:cstheme="minorHAnsi"/>
              </w:rPr>
            </w:pPr>
            <w:r w:rsidRPr="00DB6F21">
              <w:rPr>
                <w:rFonts w:cstheme="minorHAnsi"/>
              </w:rPr>
              <w:t>ANO</w:t>
            </w:r>
          </w:p>
        </w:tc>
      </w:tr>
    </w:tbl>
    <w:p w:rsidR="00082BC9" w:rsidRPr="00DB6F21" w:rsidRDefault="00082BC9" w:rsidP="00082BC9">
      <w:pPr>
        <w:spacing w:before="120" w:after="120"/>
        <w:jc w:val="both"/>
        <w:rPr>
          <w:rFonts w:cstheme="minorHAnsi"/>
          <w:i/>
        </w:rPr>
      </w:pPr>
      <w:r w:rsidRPr="00DB6F21">
        <w:rPr>
          <w:rFonts w:eastAsia="Times New Roman" w:cstheme="minorHAnsi"/>
          <w:i/>
          <w:color w:val="000000"/>
          <w:lang w:eastAsia="cs-CZ"/>
        </w:rPr>
        <w:t>Výstupem mělo být zajištění počtu hodin poskytnutých intervencí 996 hodin intervencí/rok. V roce 2019 byla služba Odborné sociální poradenství Uherský Brod poskytovatele Charita Uherský Brod podpořena 1,30 úvazky v PP.  V roce 2019 služba vykázala 1.089 hodin poskytnutých intervencí, což je o 1.089 hodin více než bylo v roce 2018. Opatření bylo splněno.</w:t>
      </w:r>
    </w:p>
    <w:p w:rsidR="00082BC9" w:rsidRPr="00DB6F21" w:rsidRDefault="00082BC9" w:rsidP="00082BC9">
      <w:pPr>
        <w:spacing w:before="120" w:after="120"/>
        <w:ind w:left="1418" w:hanging="1418"/>
        <w:jc w:val="both"/>
        <w:rPr>
          <w:rFonts w:cstheme="minorHAnsi"/>
        </w:rPr>
      </w:pPr>
    </w:p>
    <w:p w:rsidR="00082BC9" w:rsidRPr="00DB6F21" w:rsidRDefault="00082BC9" w:rsidP="00082BC9">
      <w:pPr>
        <w:spacing w:before="120" w:after="120"/>
        <w:ind w:left="1418" w:hanging="1418"/>
        <w:jc w:val="both"/>
        <w:rPr>
          <w:rFonts w:cstheme="minorHAnsi"/>
        </w:rPr>
      </w:pPr>
    </w:p>
    <w:p w:rsidR="00082BC9" w:rsidRPr="00DB6F21" w:rsidRDefault="00082BC9" w:rsidP="00082BC9">
      <w:pPr>
        <w:spacing w:before="120" w:after="120"/>
        <w:ind w:left="1418" w:hanging="1418"/>
        <w:jc w:val="both"/>
        <w:rPr>
          <w:rFonts w:cstheme="minorHAnsi"/>
        </w:rPr>
      </w:pPr>
    </w:p>
    <w:p w:rsidR="00082BC9" w:rsidRPr="00DB6F21" w:rsidRDefault="00082BC9" w:rsidP="00082BC9">
      <w:pPr>
        <w:spacing w:before="120" w:after="120"/>
        <w:ind w:left="1418" w:hanging="1418"/>
        <w:jc w:val="both"/>
        <w:rPr>
          <w:rFonts w:cstheme="minorHAnsi"/>
        </w:rPr>
      </w:pPr>
    </w:p>
    <w:p w:rsidR="0043768D" w:rsidRPr="00082BC9" w:rsidRDefault="0043768D" w:rsidP="00082BC9"/>
    <w:sectPr w:rsidR="0043768D" w:rsidRPr="00082BC9" w:rsidSect="00926ACE">
      <w:pgSz w:w="11906" w:h="16838"/>
      <w:pgMar w:top="1021" w:right="1418" w:bottom="102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C9"/>
    <w:rsid w:val="00082BC9"/>
    <w:rsid w:val="00084F11"/>
    <w:rsid w:val="00435661"/>
    <w:rsid w:val="0043768D"/>
    <w:rsid w:val="008A7774"/>
    <w:rsid w:val="00933B3A"/>
    <w:rsid w:val="00AA142C"/>
    <w:rsid w:val="00BB16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B6177-ECBC-43BB-A78B-389E21FC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2BC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82B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2B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3104</Words>
  <Characters>18320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Lokajová Hnilová Lenka</dc:creator>
  <cp:keywords/>
  <dc:description/>
  <cp:lastModifiedBy>Lokajová Hnilová Lenka</cp:lastModifiedBy>
  <cp:revision>3</cp:revision>
  <cp:lastPrinted>2020-05-19T11:30:00Z</cp:lastPrinted>
  <dcterms:created xsi:type="dcterms:W3CDTF">2020-05-19T11:30:00Z</dcterms:created>
  <dcterms:modified xsi:type="dcterms:W3CDTF">2020-05-27T08:30:00Z</dcterms:modified>
</cp:coreProperties>
</file>