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D17" w:rsidRPr="00011FDD" w:rsidRDefault="00174D17" w:rsidP="00172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1FDD">
        <w:rPr>
          <w:rFonts w:ascii="Times New Roman" w:hAnsi="Times New Roman" w:cs="Times New Roman"/>
          <w:color w:val="000000"/>
          <w:sz w:val="24"/>
          <w:szCs w:val="24"/>
        </w:rPr>
        <w:t>Krajský úřad Zlínského kraje</w:t>
      </w:r>
    </w:p>
    <w:p w:rsidR="00174D17" w:rsidRPr="00011FDD" w:rsidRDefault="00174D17" w:rsidP="00172AE0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1FDD">
        <w:rPr>
          <w:rFonts w:ascii="Times New Roman" w:hAnsi="Times New Roman" w:cs="Times New Roman"/>
          <w:color w:val="000000"/>
          <w:sz w:val="24"/>
          <w:szCs w:val="24"/>
        </w:rPr>
        <w:t>Odbor právní a Krajský živnostenský úřad</w:t>
      </w:r>
    </w:p>
    <w:p w:rsidR="00174D17" w:rsidRPr="00011FDD" w:rsidRDefault="00174D17" w:rsidP="00172AE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11FDD">
        <w:rPr>
          <w:rFonts w:ascii="Times New Roman" w:hAnsi="Times New Roman" w:cs="Times New Roman"/>
          <w:color w:val="000000"/>
          <w:sz w:val="24"/>
          <w:szCs w:val="24"/>
        </w:rPr>
        <w:t>Určeno pracovníkům obecních živnostenských úřadů Zlínského kraje</w:t>
      </w:r>
    </w:p>
    <w:p w:rsidR="00174D17" w:rsidRPr="00011FDD" w:rsidRDefault="00117603" w:rsidP="00172AE0">
      <w:pPr>
        <w:spacing w:after="0"/>
        <w:rPr>
          <w:rFonts w:ascii="Times New Roman" w:hAnsi="Times New Roman" w:cs="Times New Roman"/>
          <w:b/>
          <w:bCs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B2718">
        <w:rPr>
          <w:rFonts w:ascii="Times New Roman" w:hAnsi="Times New Roman" w:cs="Times New Roman"/>
          <w:color w:val="000000"/>
          <w:sz w:val="24"/>
          <w:szCs w:val="24"/>
        </w:rPr>
        <w:t>ktualizace</w:t>
      </w:r>
      <w:r w:rsidR="00174D17" w:rsidRPr="00011F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B2718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174D17" w:rsidRPr="00011F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2718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174D17" w:rsidRPr="00011FDD">
        <w:rPr>
          <w:rFonts w:ascii="Times New Roman" w:hAnsi="Times New Roman" w:cs="Times New Roman"/>
          <w:bCs/>
          <w:color w:val="000000"/>
          <w:sz w:val="24"/>
          <w:szCs w:val="24"/>
        </w:rPr>
        <w:t>. 201</w:t>
      </w:r>
      <w:r w:rsidR="00AB2718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174D17" w:rsidRDefault="00174D17" w:rsidP="00172AE0">
      <w:pPr>
        <w:spacing w:after="0"/>
        <w:jc w:val="center"/>
        <w:rPr>
          <w:b/>
          <w:bCs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74D17" w:rsidRDefault="00174D17" w:rsidP="00172AE0">
      <w:pPr>
        <w:spacing w:after="0"/>
        <w:jc w:val="center"/>
        <w:rPr>
          <w:b/>
          <w:bCs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74D17" w:rsidRDefault="00174D17" w:rsidP="00172AE0">
      <w:pPr>
        <w:spacing w:after="0"/>
        <w:jc w:val="center"/>
        <w:rPr>
          <w:b/>
          <w:bCs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ED6139" w:rsidRPr="00FB5BCF" w:rsidRDefault="003214B5" w:rsidP="00172AE0">
      <w:pPr>
        <w:spacing w:after="0"/>
        <w:jc w:val="center"/>
        <w:rPr>
          <w:b/>
          <w:bCs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B5BCF">
        <w:rPr>
          <w:b/>
          <w:bCs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DOLOŽENÍ ODBORNÉ ZPŮSOBILOSTI OSVĚDČENÍM O REKVALIFIKACI</w:t>
      </w:r>
    </w:p>
    <w:p w:rsidR="00ED6139" w:rsidRDefault="00ED6139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4B5" w:rsidRPr="00B14FB7" w:rsidRDefault="003214B5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5AC" w:rsidRDefault="00BA4D89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FB7">
        <w:rPr>
          <w:rFonts w:ascii="Times New Roman" w:hAnsi="Times New Roman" w:cs="Times New Roman"/>
          <w:sz w:val="24"/>
          <w:szCs w:val="24"/>
        </w:rPr>
        <w:t>U většiny živností lze požadovanou odbornou způsobilost doložit osvědčením o rekvalifikaci.</w:t>
      </w:r>
      <w:r w:rsidR="00F768F0">
        <w:rPr>
          <w:rFonts w:ascii="Times New Roman" w:hAnsi="Times New Roman" w:cs="Times New Roman"/>
          <w:sz w:val="24"/>
          <w:szCs w:val="24"/>
        </w:rPr>
        <w:t xml:space="preserve"> Výjimku tvoří následující živnosti:</w:t>
      </w:r>
    </w:p>
    <w:p w:rsidR="00F27264" w:rsidRPr="00B14FB7" w:rsidRDefault="00F27264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4425"/>
      </w:tblGrid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1" w:rsidRPr="00F72381" w:rsidRDefault="00F72381" w:rsidP="00172A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vázané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81" w:rsidRPr="00F72381" w:rsidRDefault="00F72381" w:rsidP="00172A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koncesované</w:t>
            </w:r>
          </w:p>
        </w:tc>
      </w:tr>
      <w:tr w:rsidR="001A632A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32A" w:rsidRPr="00F72381" w:rsidRDefault="001A632A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632A" w:rsidRPr="00F72381" w:rsidRDefault="001A632A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Geologické práce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Výzkum, vývoj, výroba, ničení, zneškodňování, 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Projektová činnost ve výstavbě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zpracování, nákup a prodej výbušnin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Provádění staveb, jejich změn a odstraňování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Silniční motorová doprava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Revize, prohlídky a zkoušky určený</w:t>
            </w:r>
            <w:r w:rsidR="00AA683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 technických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Vnitrozemská vodní doprava 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zařízení v provozu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Kontrolní testování zařízení na ochranu rostlin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Speciální ochranná dezinfekce, dezinsekce a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Provádění pyrotechnického průzkumu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deratizace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Provozování střelnic a výuka a výcvik ve střelbě 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Provozování autoškoly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 zbraní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Pořádání kurzů k získání znalostí k výkonu speciální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Provádění trhacích a ohňostrojových prací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ochranné dezinfekce, dezinsekce a deratizace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lang w:eastAsia="cs-CZ"/>
              </w:rPr>
              <w:t>Provozování pohřební služby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Péče o dítě do tří let věku v denním režimu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Provádění balzamace a konzervace</w:t>
            </w:r>
          </w:p>
        </w:tc>
      </w:tr>
      <w:tr w:rsidR="00F72381" w:rsidRPr="00F72381" w:rsidTr="00AA6836">
        <w:trPr>
          <w:trHeight w:val="28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Psychologické poradenství a diagnostika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381" w:rsidRPr="00F72381" w:rsidRDefault="00F72381" w:rsidP="00172AE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723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Provozování krematoria</w:t>
            </w:r>
          </w:p>
        </w:tc>
      </w:tr>
    </w:tbl>
    <w:p w:rsidR="00F72381" w:rsidRDefault="00F72381" w:rsidP="00172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51B5" w:rsidRPr="00B14FB7" w:rsidRDefault="000651B5" w:rsidP="00065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FB7">
        <w:rPr>
          <w:rFonts w:ascii="Times New Roman" w:hAnsi="Times New Roman" w:cs="Times New Roman"/>
          <w:b/>
          <w:sz w:val="24"/>
          <w:szCs w:val="24"/>
        </w:rPr>
        <w:t>Rekvalifikací se rozumí</w:t>
      </w:r>
      <w:r w:rsidRPr="00B14FB7">
        <w:rPr>
          <w:rFonts w:ascii="Times New Roman" w:hAnsi="Times New Roman" w:cs="Times New Roman"/>
          <w:sz w:val="24"/>
          <w:szCs w:val="24"/>
        </w:rPr>
        <w:t xml:space="preserve"> získání nové kvalifikace a zvýšení, rozšíření nebo prohloubení dosavadní kvalifikace, včetně jejího udržování nebo obnovování.</w:t>
      </w:r>
    </w:p>
    <w:p w:rsidR="000651B5" w:rsidRPr="00B14FB7" w:rsidRDefault="000651B5" w:rsidP="000651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FB7">
        <w:rPr>
          <w:rFonts w:ascii="Times New Roman" w:hAnsi="Times New Roman" w:cs="Times New Roman"/>
          <w:sz w:val="24"/>
          <w:szCs w:val="24"/>
        </w:rPr>
        <w:t>Za rekvalifikaci je považováno také získání kvalifikace fyzickou osobou, která dosud žádnou kvalifikaci nezískala (jde o případy, kdy uplatnění na trhu práce hledá osoba se základním vzděláním).</w:t>
      </w:r>
    </w:p>
    <w:p w:rsidR="00F72381" w:rsidRDefault="00F72381" w:rsidP="00172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F11" w:rsidRDefault="00C60BA1" w:rsidP="00172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BA1">
        <w:rPr>
          <w:rFonts w:ascii="Times New Roman" w:hAnsi="Times New Roman" w:cs="Times New Roman"/>
          <w:sz w:val="24"/>
          <w:szCs w:val="24"/>
        </w:rPr>
        <w:t>Současná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E85F11">
        <w:rPr>
          <w:rFonts w:ascii="Times New Roman" w:hAnsi="Times New Roman" w:cs="Times New Roman"/>
          <w:b/>
          <w:sz w:val="24"/>
          <w:szCs w:val="24"/>
        </w:rPr>
        <w:t xml:space="preserve">rávní úprava </w:t>
      </w:r>
    </w:p>
    <w:p w:rsidR="00E85F11" w:rsidRDefault="00FE74BE" w:rsidP="00172AE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FE74BE">
        <w:t>zákon č. 435/2004 Sb., o zaměstnanosti</w:t>
      </w:r>
      <w:r w:rsidR="00504147">
        <w:t>, ve znění pozdějších předpisů</w:t>
      </w:r>
      <w:r>
        <w:t xml:space="preserve"> (od 1.10.2004)</w:t>
      </w:r>
    </w:p>
    <w:p w:rsidR="00FE74BE" w:rsidRDefault="00FE74BE" w:rsidP="00172AE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vyhláška č. </w:t>
      </w:r>
      <w:r w:rsidRPr="00B14FB7">
        <w:t>176/2009 Sb., kterou se stanoví náležitosti žádosti</w:t>
      </w:r>
      <w:r w:rsidR="00504147">
        <w:t xml:space="preserve"> </w:t>
      </w:r>
      <w:r w:rsidRPr="00B14FB7">
        <w:t>o akreditaci vzdělávacího programu, organizace vzdělávání v rekvalifikačním zařízení a způsob jeho ukončení</w:t>
      </w:r>
      <w:r w:rsidR="00504147">
        <w:t xml:space="preserve"> </w:t>
      </w:r>
      <w:r w:rsidR="0015505C">
        <w:br/>
      </w:r>
      <w:r>
        <w:t>(od 21.8.2009)</w:t>
      </w:r>
    </w:p>
    <w:p w:rsidR="001F114B" w:rsidRDefault="001F114B" w:rsidP="00172AE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>zákon č. 115/2001 Sb., o podpoře sportu, ve znění pozdějších předpisů</w:t>
      </w:r>
      <w:r w:rsidR="0022186E">
        <w:t xml:space="preserve"> (od 30.3.2001)</w:t>
      </w:r>
    </w:p>
    <w:p w:rsidR="00CB5373" w:rsidRDefault="00CB5373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54C9" w:rsidRDefault="002554C9" w:rsidP="00172AE0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Platná</w:t>
      </w:r>
      <w:r w:rsidRPr="00B14FB7">
        <w:rPr>
          <w:rFonts w:ascii="Times New Roman" w:hAnsi="Times New Roman" w:cs="Times New Roman"/>
          <w:sz w:val="24"/>
          <w:szCs w:val="24"/>
        </w:rPr>
        <w:t xml:space="preserve"> jsou také osvědčení o rekvalifikaci vydaná podle dřívější právní úpravy</w:t>
      </w:r>
    </w:p>
    <w:p w:rsidR="00FE74BE" w:rsidRDefault="00A52FAE" w:rsidP="00172AE0">
      <w:pPr>
        <w:pStyle w:val="Odstavecseseznamem"/>
        <w:numPr>
          <w:ilvl w:val="0"/>
          <w:numId w:val="8"/>
        </w:numPr>
        <w:spacing w:line="276" w:lineRule="auto"/>
        <w:jc w:val="both"/>
      </w:pPr>
      <w:r>
        <w:t xml:space="preserve">zákon č. </w:t>
      </w:r>
      <w:r w:rsidR="00504147">
        <w:t xml:space="preserve">1/1991 Sb., o zaměstnanosti, ve znění pozdějších předpisů (od 1.2.1991 </w:t>
      </w:r>
      <w:r w:rsidR="0015505C">
        <w:br/>
      </w:r>
      <w:r w:rsidR="00504147">
        <w:t>do 1.10.2004),</w:t>
      </w:r>
    </w:p>
    <w:p w:rsidR="00A52FAE" w:rsidRDefault="00A52FAE" w:rsidP="00172AE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B14FB7">
        <w:lastRenderedPageBreak/>
        <w:t>vyhláška č. 21/1991 Sb., o bližších podmínkách zabezpečování rekvalifikace uchazečů o zaměstnání a zaměstnanců</w:t>
      </w:r>
      <w:r w:rsidR="0015505C">
        <w:t>, ve znění pozdějších předpisů (od 1.2.1991 do 1.10.2004)</w:t>
      </w:r>
    </w:p>
    <w:p w:rsidR="00A52FAE" w:rsidRPr="00FE74BE" w:rsidRDefault="00A52FAE" w:rsidP="00172AE0">
      <w:pPr>
        <w:pStyle w:val="Odstavecseseznamem"/>
        <w:numPr>
          <w:ilvl w:val="0"/>
          <w:numId w:val="8"/>
        </w:numPr>
        <w:spacing w:line="276" w:lineRule="auto"/>
        <w:jc w:val="both"/>
      </w:pPr>
      <w:r w:rsidRPr="00B14FB7">
        <w:t>vyhláška č. 524/2004 Sb., o akreditaci zařízení k provádění rekvalifikace uchazečů o zaměstnání a zájemců o zaměstnání</w:t>
      </w:r>
      <w:r w:rsidR="003F05AE">
        <w:t xml:space="preserve"> (</w:t>
      </w:r>
      <w:r w:rsidR="00A975C2">
        <w:t xml:space="preserve">od 13.10.2004 do </w:t>
      </w:r>
      <w:r w:rsidR="005B2A36">
        <w:t>2</w:t>
      </w:r>
      <w:r w:rsidR="00040B19">
        <w:t>1.8.2009)</w:t>
      </w:r>
    </w:p>
    <w:p w:rsidR="00172AE0" w:rsidRDefault="00172AE0" w:rsidP="00172A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D89" w:rsidRPr="00B14FB7" w:rsidRDefault="00C25D86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FB7">
        <w:rPr>
          <w:rFonts w:ascii="Times New Roman" w:hAnsi="Times New Roman" w:cs="Times New Roman"/>
          <w:b/>
          <w:sz w:val="24"/>
          <w:szCs w:val="24"/>
        </w:rPr>
        <w:t>Rekvalifikaci</w:t>
      </w:r>
      <w:r w:rsidRPr="00B14FB7">
        <w:rPr>
          <w:rFonts w:ascii="Times New Roman" w:hAnsi="Times New Roman" w:cs="Times New Roman"/>
          <w:sz w:val="24"/>
          <w:szCs w:val="24"/>
        </w:rPr>
        <w:t xml:space="preserve"> </w:t>
      </w:r>
      <w:r w:rsidR="002D19BA" w:rsidRPr="00B14FB7">
        <w:rPr>
          <w:rFonts w:ascii="Times New Roman" w:hAnsi="Times New Roman" w:cs="Times New Roman"/>
          <w:sz w:val="24"/>
          <w:szCs w:val="24"/>
        </w:rPr>
        <w:t xml:space="preserve">dle § 108 zákona č. 435/2004 Sb., o zaměstnanosti, </w:t>
      </w:r>
      <w:r w:rsidR="002D19BA" w:rsidRPr="00B14FB7">
        <w:rPr>
          <w:rFonts w:ascii="Times New Roman" w:hAnsi="Times New Roman" w:cs="Times New Roman"/>
          <w:b/>
          <w:sz w:val="24"/>
          <w:szCs w:val="24"/>
        </w:rPr>
        <w:t>může provádět</w:t>
      </w:r>
      <w:r w:rsidRPr="00B14FB7">
        <w:rPr>
          <w:rFonts w:ascii="Times New Roman" w:hAnsi="Times New Roman" w:cs="Times New Roman"/>
          <w:sz w:val="24"/>
          <w:szCs w:val="24"/>
        </w:rPr>
        <w:t>:</w:t>
      </w:r>
    </w:p>
    <w:p w:rsidR="002445AC" w:rsidRPr="00524A9C" w:rsidRDefault="002D19BA" w:rsidP="00172AE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524A9C">
        <w:t>zařízení s akreditovaným vzdělávacím programem podle tohoto zákona</w:t>
      </w:r>
      <w:r w:rsidR="00480D7F" w:rsidRPr="00524A9C">
        <w:t xml:space="preserve"> </w:t>
      </w:r>
      <w:r w:rsidR="00781272" w:rsidRPr="00524A9C">
        <w:t>(</w:t>
      </w:r>
      <w:r w:rsidR="00195D4A" w:rsidRPr="00524A9C">
        <w:t>patří</w:t>
      </w:r>
      <w:r w:rsidR="00480D7F" w:rsidRPr="00524A9C">
        <w:t xml:space="preserve"> sem nejen právnické nebo fyzické osoby, které se zabývají vzdělávací činností, ale i ke vzdělávání určené útvary zaměstnavatelů nebo jejich vlastní vzdělávací zařízení</w:t>
      </w:r>
      <w:r w:rsidR="00524A9C" w:rsidRPr="00524A9C">
        <w:t>) -</w:t>
      </w:r>
      <w:r w:rsidR="008C4493" w:rsidRPr="00524A9C">
        <w:t xml:space="preserve"> </w:t>
      </w:r>
      <w:r w:rsidR="008C4493" w:rsidRPr="00524A9C">
        <w:rPr>
          <w:i/>
        </w:rPr>
        <w:t>je udělována akreditace MŠMT</w:t>
      </w:r>
      <w:r w:rsidR="00480D7F" w:rsidRPr="00524A9C">
        <w:t>,</w:t>
      </w:r>
    </w:p>
    <w:p w:rsidR="00480D7F" w:rsidRPr="00524A9C" w:rsidRDefault="00480D7F" w:rsidP="00172AE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524A9C">
        <w:t>zařízení s akreditovaným vzdělávacím programem podle zvláštního právního předpisu (zejména zdravotnická zařízení, která mají akreditovaný vzdělávací program potřebný pro získání odborné způsobilosti k výkonu zdravotnického povolání, nebo zařízení mající akreditovaný vzdělávací program pro sociální pracovníky</w:t>
      </w:r>
      <w:r w:rsidR="00524A9C" w:rsidRPr="00524A9C">
        <w:t>) -</w:t>
      </w:r>
      <w:r w:rsidR="0056781E" w:rsidRPr="00524A9C">
        <w:t xml:space="preserve"> </w:t>
      </w:r>
      <w:r w:rsidR="0056781E" w:rsidRPr="00524A9C">
        <w:rPr>
          <w:rStyle w:val="Zdraznn"/>
        </w:rPr>
        <w:t>akreditac</w:t>
      </w:r>
      <w:r w:rsidR="00524A9C" w:rsidRPr="00524A9C">
        <w:rPr>
          <w:rStyle w:val="Zdraznn"/>
        </w:rPr>
        <w:t>i</w:t>
      </w:r>
      <w:r w:rsidR="0056781E" w:rsidRPr="00524A9C">
        <w:rPr>
          <w:rStyle w:val="Zdraznn"/>
        </w:rPr>
        <w:t xml:space="preserve"> uděluje to ministerstvo, do jehož gesce spadá konkrétní právní předpis</w:t>
      </w:r>
      <w:r w:rsidR="00AE2A92" w:rsidRPr="00524A9C">
        <w:t>,</w:t>
      </w:r>
    </w:p>
    <w:p w:rsidR="00C37922" w:rsidRPr="00524A9C" w:rsidRDefault="00AE2A92" w:rsidP="00172AE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524A9C">
        <w:t>školy</w:t>
      </w:r>
    </w:p>
    <w:p w:rsidR="00C37922" w:rsidRPr="00524A9C" w:rsidRDefault="00C37922" w:rsidP="00164D3C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524A9C">
        <w:t>které realizují rekvalifikace v rámci oboru vzdělání, který mají zapsaný v Rejstříku škol a</w:t>
      </w:r>
      <w:r w:rsidR="00AD589B" w:rsidRPr="00524A9C">
        <w:t xml:space="preserve"> </w:t>
      </w:r>
      <w:r w:rsidRPr="00524A9C">
        <w:t>školských zařízení</w:t>
      </w:r>
      <w:r w:rsidR="00433988">
        <w:t xml:space="preserve"> </w:t>
      </w:r>
      <w:r w:rsidR="00433988" w:rsidRPr="000765DF">
        <w:t>(</w:t>
      </w:r>
      <w:hyperlink r:id="rId8" w:history="1">
        <w:r w:rsidR="00433988" w:rsidRPr="000765DF">
          <w:rPr>
            <w:rStyle w:val="Hypertextovodkaz"/>
          </w:rPr>
          <w:t>http://rejskol.msmt.cz/</w:t>
        </w:r>
      </w:hyperlink>
      <w:r w:rsidR="00433988">
        <w:t>)</w:t>
      </w:r>
      <w:r w:rsidRPr="00524A9C">
        <w:t xml:space="preserve"> nebo vysoká škola s akreditovaným studijním programem podle zvláštního právního předpisu</w:t>
      </w:r>
      <w:r w:rsidR="00524A9C" w:rsidRPr="00524A9C">
        <w:t xml:space="preserve"> -</w:t>
      </w:r>
      <w:r w:rsidR="00A156A6" w:rsidRPr="00524A9C">
        <w:t xml:space="preserve"> </w:t>
      </w:r>
      <w:r w:rsidR="00A156A6" w:rsidRPr="00164D3C">
        <w:rPr>
          <w:i/>
          <w:iCs/>
        </w:rPr>
        <w:t>není udělována akreditace MŠMT a rekvalifikace se realizují v souladu s vyhláškou č. 176/2009 Sb.</w:t>
      </w:r>
      <w:r w:rsidR="008B6FA0" w:rsidRPr="00524A9C">
        <w:t>,</w:t>
      </w:r>
    </w:p>
    <w:p w:rsidR="00AE2A92" w:rsidRPr="00524A9C" w:rsidRDefault="001A325B" w:rsidP="00172AE0">
      <w:pPr>
        <w:pStyle w:val="Odstavecseseznamem"/>
        <w:numPr>
          <w:ilvl w:val="0"/>
          <w:numId w:val="10"/>
        </w:numPr>
        <w:spacing w:line="276" w:lineRule="auto"/>
        <w:jc w:val="both"/>
      </w:pPr>
      <w:r w:rsidRPr="00524A9C">
        <w:t xml:space="preserve">které realizují rekvalifikace v jiném oboru než v tom, který mají zapsaný v Rejstříku škol a školských zařízení nebo vysoká škola </w:t>
      </w:r>
      <w:r w:rsidR="00BA0473" w:rsidRPr="00524A9C">
        <w:t>která poskytuje rekvalifikační kurzy, které nejsou v souladu s jejími akreditovanými studijními programy</w:t>
      </w:r>
      <w:r w:rsidRPr="00524A9C">
        <w:t xml:space="preserve"> podle zvláštního právního předpisu</w:t>
      </w:r>
      <w:r w:rsidR="00A156A6" w:rsidRPr="00524A9C">
        <w:t xml:space="preserve"> </w:t>
      </w:r>
      <w:r w:rsidR="00524A9C">
        <w:t xml:space="preserve">- </w:t>
      </w:r>
      <w:r w:rsidR="00A156A6" w:rsidRPr="00524A9C">
        <w:rPr>
          <w:i/>
        </w:rPr>
        <w:t>je udělována akreditace MŠMT</w:t>
      </w:r>
      <w:r w:rsidRPr="00524A9C">
        <w:t>,</w:t>
      </w:r>
      <w:r w:rsidR="00A36DD7" w:rsidRPr="00524A9C">
        <w:t xml:space="preserve"> </w:t>
      </w:r>
    </w:p>
    <w:p w:rsidR="00AE2A92" w:rsidRPr="00524A9C" w:rsidRDefault="00AE2A92" w:rsidP="00172AE0">
      <w:pPr>
        <w:pStyle w:val="Odstavecseseznamem"/>
        <w:numPr>
          <w:ilvl w:val="0"/>
          <w:numId w:val="5"/>
        </w:numPr>
        <w:spacing w:line="276" w:lineRule="auto"/>
        <w:jc w:val="both"/>
      </w:pPr>
      <w:r w:rsidRPr="00524A9C">
        <w:t>zařízení se vzdělávacím programem podle zvláštního právního předpisu</w:t>
      </w:r>
      <w:r w:rsidR="000B09A0" w:rsidRPr="00524A9C">
        <w:t xml:space="preserve"> </w:t>
      </w:r>
      <w:r w:rsidR="0070687E" w:rsidRPr="00524A9C">
        <w:t>(zejména</w:t>
      </w:r>
      <w:r w:rsidR="000B09A0" w:rsidRPr="00524A9C">
        <w:t xml:space="preserve"> </w:t>
      </w:r>
      <w:r w:rsidR="0070687E" w:rsidRPr="00524A9C">
        <w:t>v oblasti technické, např. způsobilost pracovníků v elektrotechnice, v obsluze stavebních strojů, apod.)</w:t>
      </w:r>
      <w:r w:rsidR="00557863">
        <w:t xml:space="preserve"> </w:t>
      </w:r>
      <w:r w:rsidR="00557863" w:rsidRPr="00557863">
        <w:t xml:space="preserve">- </w:t>
      </w:r>
      <w:r w:rsidR="009032ED" w:rsidRPr="009032ED">
        <w:rPr>
          <w:i/>
        </w:rPr>
        <w:t>např.</w:t>
      </w:r>
      <w:r w:rsidR="009032ED">
        <w:t xml:space="preserve"> </w:t>
      </w:r>
      <w:r w:rsidR="009032ED">
        <w:rPr>
          <w:rStyle w:val="Zdraznn"/>
        </w:rPr>
        <w:t xml:space="preserve">je udělována akreditace MŠMT k pořádání přípravných kurzů k závěrečné zkoušce, ale závěrečná zkouška se koná dle </w:t>
      </w:r>
      <w:r w:rsidR="005B3359">
        <w:rPr>
          <w:rStyle w:val="Zdraznn"/>
        </w:rPr>
        <w:t xml:space="preserve">zvláštního </w:t>
      </w:r>
      <w:r w:rsidR="009032ED">
        <w:rPr>
          <w:rStyle w:val="Zdraznn"/>
        </w:rPr>
        <w:t>právníh</w:t>
      </w:r>
      <w:r w:rsidR="005B3359">
        <w:rPr>
          <w:rStyle w:val="Zdraznn"/>
        </w:rPr>
        <w:t xml:space="preserve">o předpisu; v případě vyhlášky </w:t>
      </w:r>
      <w:r w:rsidR="009032ED">
        <w:rPr>
          <w:rStyle w:val="Zdraznn"/>
        </w:rPr>
        <w:t>č. 77/1965 Sb., není udělována akreditace MŠMT a celá rekvalifikace se realizuje v souladu s</w:t>
      </w:r>
      <w:r w:rsidR="00F61BE7">
        <w:rPr>
          <w:rStyle w:val="Zdraznn"/>
        </w:rPr>
        <w:t>e zvláštním</w:t>
      </w:r>
      <w:r w:rsidR="009032ED">
        <w:rPr>
          <w:rStyle w:val="Zdraznn"/>
        </w:rPr>
        <w:t xml:space="preserve"> právním předpisem</w:t>
      </w:r>
      <w:r w:rsidR="0070687E" w:rsidRPr="00557863">
        <w:t>.</w:t>
      </w:r>
    </w:p>
    <w:p w:rsidR="000C0060" w:rsidRDefault="000C0060" w:rsidP="00172AE0">
      <w:pPr>
        <w:pStyle w:val="Normlnweb"/>
        <w:spacing w:before="0" w:beforeAutospacing="0" w:after="0" w:afterAutospacing="0" w:line="276" w:lineRule="auto"/>
        <w:jc w:val="both"/>
        <w:rPr>
          <w:bCs/>
        </w:rPr>
      </w:pPr>
    </w:p>
    <w:p w:rsidR="00C63E5A" w:rsidRPr="00C63E5A" w:rsidRDefault="00C63E5A" w:rsidP="00172AE0">
      <w:pPr>
        <w:pStyle w:val="Normlnweb"/>
        <w:spacing w:before="0" w:beforeAutospacing="0" w:after="0" w:afterAutospacing="0" w:line="276" w:lineRule="auto"/>
        <w:jc w:val="both"/>
      </w:pPr>
      <w:r w:rsidRPr="00C63E5A">
        <w:rPr>
          <w:bCs/>
        </w:rPr>
        <w:t>MŠMT na základě zákona</w:t>
      </w:r>
      <w:r w:rsidRPr="00C63E5A">
        <w:t xml:space="preserve"> </w:t>
      </w:r>
      <w:r w:rsidRPr="00C63E5A">
        <w:rPr>
          <w:bCs/>
        </w:rPr>
        <w:t>č. 435/2004 Sb., o zaměstnanosti, akredituje rekvalifikační kurzy, které připravují k výkonu konkrétní pracovní činnosti uplatnitelné na trhu práce nebo připravují k získání konkrétních pracovních dovedností.</w:t>
      </w:r>
      <w:r>
        <w:rPr>
          <w:bCs/>
        </w:rPr>
        <w:t xml:space="preserve"> </w:t>
      </w:r>
      <w:r w:rsidRPr="00C63E5A">
        <w:t>Jedná se o tyto vzdělávací programy:</w:t>
      </w:r>
    </w:p>
    <w:p w:rsidR="00C63E5A" w:rsidRPr="00C63E5A" w:rsidRDefault="00C63E5A" w:rsidP="00172AE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programy k získání plné kvalifikace k výkonu konkrétní pracovní činnosti uplatnitelné na trhu práce (např. holičské a kadeřnické práce, počítačový grafik…)</w:t>
      </w:r>
      <w:r w:rsidR="00852B4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3E5A" w:rsidRPr="00C63E5A" w:rsidRDefault="00C63E5A" w:rsidP="00172AE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programy k získání konkrétních pracovních dovedností (např. PC kurzy, základy podnikání…)</w:t>
      </w:r>
      <w:r w:rsidR="00852B4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3E5A" w:rsidRPr="00C63E5A" w:rsidRDefault="00C63E5A" w:rsidP="00172AE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programy vedoucí k profesním kvalifikacím v NSK dle zákona č. 179/2006 Sb. (např. malíř,</w:t>
      </w:r>
      <w:r w:rsidR="00DF4F8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t>manažer prodeje, příprava teplých pokrmů…)</w:t>
      </w:r>
      <w:r w:rsidR="00852B4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3E5A" w:rsidRPr="00C63E5A" w:rsidRDefault="00C63E5A" w:rsidP="00172AE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programy vedoucí k závěrečné zkoušce dle zvláštních právních předpisů</w:t>
      </w:r>
      <w:r w:rsidR="00852B4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C63E5A" w:rsidRPr="00C63E5A" w:rsidRDefault="00C63E5A" w:rsidP="00172AE0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nespecifické rekvalifikační kurzy - zaměřené na počítačovou uživatelskou gramotnost, management, marketing, účetnictví, bankovnictví, systém práce s lidmi a přípravu na </w:t>
      </w:r>
      <w:r w:rsidRPr="00C63E5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soukromé podnikání v kombinaci s intenzivní jazykovou přípravou</w:t>
      </w:r>
      <w:r w:rsidR="00A740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pro neumístěné absolventy škol)</w:t>
      </w:r>
      <w:r w:rsidR="00852B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32D9" w:rsidRDefault="003532D9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82F8F" w:rsidRDefault="00C82F8F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2F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o akreditaci, včetně vzdělávacích programů, posuzuje </w:t>
      </w:r>
      <w:r w:rsidR="00DF36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Pr="00DF363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kreditační komise</w:t>
      </w:r>
      <w:r w:rsidRPr="00C82F8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MŠMT doporučuje udělit nebo neudělit akreditaci pro vymezenou pracovní činnost. Jedním z členů této komise je i zástupce MPO – Ing. Marcela Hauptmanová.</w:t>
      </w:r>
    </w:p>
    <w:p w:rsidR="00C82F8F" w:rsidRDefault="00C82F8F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4725" w:rsidRPr="000765DF" w:rsidRDefault="003C4725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MŠMT uděluje akreditaci vzdělávacímu zařízení pro organizování konkrétního kurzu.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rekvalifikačních kurzů se nikdy neuděluje univerzální akreditace, která by byla platná pro všechny realizované kurzy.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Udělená akreditace je vždy označena číslem jednacím, na základě kterého lze platnost akreditace ověřit v </w:t>
      </w:r>
      <w:r w:rsidRPr="003C47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databázi udělených akreditací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rekvalifikačních programů na tomto </w:t>
      </w:r>
      <w:r w:rsidRPr="000765DF">
        <w:rPr>
          <w:rFonts w:ascii="Times New Roman" w:eastAsia="Times New Roman" w:hAnsi="Times New Roman" w:cs="Times New Roman"/>
          <w:sz w:val="24"/>
          <w:szCs w:val="24"/>
          <w:lang w:eastAsia="cs-CZ"/>
        </w:rPr>
        <w:t>odkazu:</w:t>
      </w:r>
      <w:r w:rsidR="001024AD" w:rsidRPr="000765DF">
        <w:t xml:space="preserve"> </w:t>
      </w:r>
      <w:hyperlink r:id="rId9" w:history="1">
        <w:r w:rsidR="001024AD" w:rsidRPr="000765D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http://www.msmt.cz/vzdelavani/dalsi-vzdelavani/databaze</w:t>
        </w:r>
      </w:hyperlink>
      <w:r w:rsidR="001024AD" w:rsidRPr="000765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532D9" w:rsidRDefault="003532D9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E6F70" w:rsidRDefault="003C4725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 se uděluje na dobu 3 let.</w:t>
      </w:r>
      <w:r w:rsidR="001024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Kurz musí být vždy zahájen v době platnosti udělené akreditace, tedy nejpozději poslední den platnosti akredit</w:t>
      </w:r>
      <w:r w:rsidR="001024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ace, jinak je kurz považován za 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neakreditovaný a po ukončení kurzu nemůže být vydáno „Osvědčení o rekvalifikaci“.</w:t>
      </w:r>
      <w:r w:rsidR="001024A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472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dokončení kurzu může být až po uplynutí platnosti akreditace</w:t>
      </w:r>
      <w:r w:rsidR="00A650F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3C4725" w:rsidRPr="003C4725" w:rsidRDefault="00CE6F70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E6F70">
        <w:rPr>
          <w:rFonts w:ascii="Times New Roman" w:eastAsia="Times New Roman" w:hAnsi="Times New Roman" w:cs="Times New Roman"/>
          <w:sz w:val="24"/>
          <w:szCs w:val="24"/>
          <w:lang w:eastAsia="cs-CZ"/>
        </w:rPr>
        <w:t>MŠMT žádosti o akreditaci neprodlužuje.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E6F70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 tomu, že během této doby může dojít jak na straně vlastního kurzu či vzdělávacího zařízení ke změně, je nutné podat novou žá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dost o akreditaci.</w:t>
      </w:r>
    </w:p>
    <w:p w:rsidR="00852B4D" w:rsidRDefault="00852B4D" w:rsidP="00172AE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F54234" w:rsidRDefault="00F54234" w:rsidP="00172AE0">
      <w:pPr>
        <w:shd w:val="clear" w:color="auto" w:fill="FFFFFF"/>
        <w:spacing w:after="0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FB7">
        <w:rPr>
          <w:rFonts w:ascii="Times New Roman" w:hAnsi="Times New Roman" w:cs="Times New Roman"/>
          <w:sz w:val="24"/>
          <w:szCs w:val="24"/>
        </w:rPr>
        <w:t>Rekvalifika</w:t>
      </w:r>
      <w:r w:rsidRPr="00B14FB7">
        <w:rPr>
          <w:rFonts w:ascii="Times New Roman" w:eastAsia="Times New Roman" w:hAnsi="Times New Roman" w:cs="Times New Roman"/>
          <w:sz w:val="24"/>
          <w:szCs w:val="24"/>
        </w:rPr>
        <w:t xml:space="preserve">ční kurzy jsou MŠMT akreditovány v konkrétní hodinové dotaci. Tato </w:t>
      </w:r>
      <w:r w:rsidRPr="009A51E1">
        <w:rPr>
          <w:rFonts w:ascii="Times New Roman" w:eastAsia="Times New Roman" w:hAnsi="Times New Roman" w:cs="Times New Roman"/>
          <w:sz w:val="24"/>
          <w:szCs w:val="24"/>
        </w:rPr>
        <w:t>hodinová dotace</w:t>
      </w:r>
      <w:r w:rsidRPr="00B14FB7">
        <w:rPr>
          <w:rFonts w:ascii="Times New Roman" w:eastAsia="Times New Roman" w:hAnsi="Times New Roman" w:cs="Times New Roman"/>
          <w:sz w:val="24"/>
          <w:szCs w:val="24"/>
        </w:rPr>
        <w:t xml:space="preserve"> je uváděna od roku 2005 na roz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hodnutích o udělení akreditace. </w:t>
      </w:r>
      <w:r w:rsidRPr="00F121C0">
        <w:rPr>
          <w:rFonts w:ascii="Times New Roman" w:eastAsia="Times New Roman" w:hAnsi="Times New Roman" w:cs="Times New Roman"/>
          <w:sz w:val="24"/>
          <w:szCs w:val="24"/>
        </w:rPr>
        <w:t>Hodinová dotace uvedená na rozhodnutí o udělení akreditace je chápána jakožto hodinová dotace minimální. Rekvalifikační kurzy akreditované dle zákona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1C0">
        <w:rPr>
          <w:rFonts w:ascii="Times New Roman" w:eastAsia="Times New Roman" w:hAnsi="Times New Roman" w:cs="Times New Roman"/>
          <w:sz w:val="24"/>
          <w:szCs w:val="24"/>
        </w:rPr>
        <w:t>č. 435/2004 Sb., o zaměstnanosti, mohou být poskytovány i v rozsahu vyšším, než v hodinové dotaci uvedené v rozhodnutí o udělení akreditace, musí však být zachovány tematické celky uvedené v učebním plánu.</w:t>
      </w:r>
    </w:p>
    <w:p w:rsidR="00F54234" w:rsidRDefault="00F54234" w:rsidP="00172AE0">
      <w:pPr>
        <w:shd w:val="clear" w:color="auto" w:fill="FFFFFF"/>
        <w:spacing w:after="0"/>
        <w:ind w:lef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4234" w:rsidRPr="00B14FB7" w:rsidRDefault="00F54234" w:rsidP="00172AE0">
      <w:pPr>
        <w:shd w:val="clear" w:color="auto" w:fill="FFFFFF"/>
        <w:spacing w:after="0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E1">
        <w:rPr>
          <w:rFonts w:ascii="Times New Roman" w:eastAsia="Times New Roman" w:hAnsi="Times New Roman" w:cs="Times New Roman"/>
          <w:b/>
          <w:sz w:val="24"/>
          <w:szCs w:val="24"/>
        </w:rPr>
        <w:t>Minimální hodinové dotace</w:t>
      </w:r>
      <w:r w:rsidRPr="00B14FB7">
        <w:rPr>
          <w:rFonts w:ascii="Times New Roman" w:eastAsia="Times New Roman" w:hAnsi="Times New Roman" w:cs="Times New Roman"/>
          <w:sz w:val="24"/>
          <w:szCs w:val="24"/>
        </w:rPr>
        <w:t xml:space="preserve"> vybraných rekvalifikačních kurzů</w:t>
      </w:r>
      <w:r w:rsidR="00B3692F">
        <w:rPr>
          <w:rFonts w:ascii="Times New Roman" w:eastAsia="Times New Roman" w:hAnsi="Times New Roman" w:cs="Times New Roman"/>
          <w:sz w:val="24"/>
          <w:szCs w:val="24"/>
        </w:rPr>
        <w:t xml:space="preserve"> (zahrnující teoretickou i praktickou výuku)</w:t>
      </w:r>
      <w:r w:rsidRPr="00B14FB7">
        <w:rPr>
          <w:rFonts w:ascii="Times New Roman" w:eastAsia="Times New Roman" w:hAnsi="Times New Roman" w:cs="Times New Roman"/>
          <w:sz w:val="24"/>
          <w:szCs w:val="24"/>
        </w:rPr>
        <w:t xml:space="preserve"> jsou uvedeny na webových stránkách MŠMT: </w:t>
      </w:r>
    </w:p>
    <w:p w:rsidR="00F54234" w:rsidRPr="000765DF" w:rsidRDefault="00DA2FF1" w:rsidP="00172AE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54234" w:rsidRPr="000765DF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http://www.msmt.cz/vzdelavani/dalsi-vzdelavani/minimalni-hodinove-dotace-vybranych-rekvalifikacnich-kurzu-1</w:t>
        </w:r>
      </w:hyperlink>
      <w:r w:rsidR="00F54234" w:rsidRPr="000765DF">
        <w:rPr>
          <w:rFonts w:ascii="Times New Roman" w:hAnsi="Times New Roman" w:cs="Times New Roman"/>
          <w:sz w:val="24"/>
          <w:szCs w:val="24"/>
        </w:rPr>
        <w:t>.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54234" w:rsidRDefault="00F54234" w:rsidP="00172AE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rekvalifikační kurz mohou být stanoveny rozdílné hodinové dotace v závislosti na stupni dosaženého vzdělání. 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Příklady hodinových dotací: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sectPr w:rsidR="00F54234" w:rsidSect="00B40EEC">
          <w:footerReference w:type="default" r:id="rId11"/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zedník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300 h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zámečník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300 h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truhlář nábytkář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200 h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malíř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200 h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složitá obsluha hostů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100 h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strážný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40 h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kosmetické služby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600 h (ZŠ) 300 h (SŠ)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chovatel zvířat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120 h (ZŠ) </w:t>
      </w:r>
      <w:r w:rsidR="003C1A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80 h (SŠ)</w:t>
      </w:r>
    </w:p>
    <w:p w:rsid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holičské </w:t>
      </w:r>
    </w:p>
    <w:p w:rsidR="00F54234" w:rsidRPr="00F54234" w:rsidRDefault="00F54234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kadeřnické práce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600 h (ZŠ) 300 h (SŠ)</w:t>
      </w:r>
    </w:p>
    <w:p w:rsidR="00F54234" w:rsidRDefault="00F54234" w:rsidP="00172AE0">
      <w:pPr>
        <w:pStyle w:val="Normlnweb"/>
        <w:spacing w:before="0" w:beforeAutospacing="0" w:after="0" w:afterAutospacing="0" w:line="276" w:lineRule="auto"/>
        <w:jc w:val="both"/>
        <w:sectPr w:rsidR="00F54234" w:rsidSect="00F54234">
          <w:footerReference w:type="default" r:id="rId12"/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172AE0" w:rsidRDefault="00172AE0" w:rsidP="00172AE0">
      <w:pPr>
        <w:pStyle w:val="Normlnweb"/>
        <w:spacing w:before="0" w:beforeAutospacing="0" w:after="0" w:afterAutospacing="0" w:line="276" w:lineRule="auto"/>
        <w:jc w:val="both"/>
        <w:rPr>
          <w:bCs/>
        </w:rPr>
      </w:pPr>
    </w:p>
    <w:p w:rsidR="00F54234" w:rsidRDefault="00172AE0" w:rsidP="00172AE0">
      <w:pPr>
        <w:pStyle w:val="Normlnweb"/>
        <w:spacing w:before="0" w:beforeAutospacing="0" w:after="0" w:afterAutospacing="0" w:line="276" w:lineRule="auto"/>
        <w:jc w:val="both"/>
      </w:pPr>
      <w:r>
        <w:rPr>
          <w:bCs/>
        </w:rPr>
        <w:lastRenderedPageBreak/>
        <w:t>U některých kurzů (např. provoz solárií, piercing, tetování, permanentní make-up, programátor CNC strojů, …) je jedním ze vstupních předpokladů dosažení minimálně středního vzdělání.</w:t>
      </w:r>
    </w:p>
    <w:p w:rsidR="00852B4D" w:rsidRDefault="00852B4D" w:rsidP="00172AE0">
      <w:pPr>
        <w:pStyle w:val="Normlnweb"/>
        <w:spacing w:before="0" w:beforeAutospacing="0" w:after="0" w:afterAutospacing="0" w:line="276" w:lineRule="auto"/>
        <w:jc w:val="both"/>
      </w:pPr>
    </w:p>
    <w:p w:rsidR="00DF4F84" w:rsidRPr="00DF4F84" w:rsidRDefault="00051026" w:rsidP="00172AE0">
      <w:pPr>
        <w:pStyle w:val="Normlnweb"/>
        <w:spacing w:before="0" w:beforeAutospacing="0" w:after="0" w:afterAutospacing="0" w:line="276" w:lineRule="auto"/>
        <w:jc w:val="both"/>
      </w:pPr>
      <w:r>
        <w:t>P</w:t>
      </w:r>
      <w:r w:rsidR="003532D9" w:rsidRPr="00051026">
        <w:t>o úspěšném absolvování rekvalifikačního programu je vydáváno „Osvědčení o rekvalifikaci“ nebo „Osvědčení o účasti v akreditovaném vzdělávacím programu“ (záleží na druhu absolvovaného kurzu)</w:t>
      </w:r>
      <w:r w:rsidR="000A00E0" w:rsidRPr="00051026">
        <w:t xml:space="preserve">. </w:t>
      </w:r>
      <w:r w:rsidR="00DF4F84">
        <w:t>V</w:t>
      </w:r>
      <w:r w:rsidR="00DF4F84" w:rsidRPr="00DF4F84">
        <w:t>ydávané osvědčení má neomezenou platnost na území celé České republiky</w:t>
      </w:r>
      <w:r w:rsidR="00DF4F84">
        <w:t>.</w:t>
      </w:r>
      <w:r w:rsidR="00DF4F84" w:rsidRPr="00DF4F84">
        <w:t xml:space="preserve"> </w:t>
      </w:r>
    </w:p>
    <w:p w:rsidR="00852B4D" w:rsidRDefault="00852B4D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A00E0" w:rsidRPr="00B14FB7" w:rsidRDefault="00545987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Mezi poměrně časté dotazy patří situace, kdy absolvent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rekvali</w:t>
      </w:r>
      <w:r w:rsidR="00694D15">
        <w:rPr>
          <w:rFonts w:ascii="Times New Roman" w:eastAsia="Times New Roman" w:hAnsi="Times New Roman" w:cs="Times New Roman"/>
          <w:sz w:val="24"/>
          <w:szCs w:val="24"/>
          <w:lang w:eastAsia="cs-CZ"/>
        </w:rPr>
        <w:t>fikační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694D15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programů</w:t>
      </w:r>
      <w:r w:rsidR="0069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ohlášení živnosti/žádosti o koncesi předloží doklad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9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vystaven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694D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vzdělávacími zařízeními s </w:t>
      </w:r>
      <w:r w:rsidR="004059B6">
        <w:rPr>
          <w:rFonts w:ascii="Times New Roman" w:eastAsia="Times New Roman" w:hAnsi="Times New Roman" w:cs="Times New Roman"/>
          <w:sz w:val="24"/>
          <w:szCs w:val="24"/>
          <w:lang w:eastAsia="cs-CZ"/>
        </w:rPr>
        <w:t>různorodým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rozsahem údajů</w:t>
      </w:r>
      <w:r w:rsidR="00634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absolvování rekvalifikace</w:t>
      </w:r>
      <w:r w:rsidR="004059B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D3A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06C3" w:rsidRPr="006349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Náležitosti</w:t>
      </w:r>
      <w:r w:rsidR="00051026" w:rsidRPr="006349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806C3" w:rsidRPr="00B14FB7">
        <w:rPr>
          <w:rFonts w:ascii="Times New Roman" w:hAnsi="Times New Roman" w:cs="Times New Roman"/>
          <w:b/>
          <w:sz w:val="24"/>
          <w:szCs w:val="24"/>
        </w:rPr>
        <w:t>o</w:t>
      </w:r>
      <w:r w:rsidR="00075F69" w:rsidRPr="00B14FB7">
        <w:rPr>
          <w:rFonts w:ascii="Times New Roman" w:hAnsi="Times New Roman" w:cs="Times New Roman"/>
          <w:b/>
          <w:sz w:val="24"/>
          <w:szCs w:val="24"/>
        </w:rPr>
        <w:t>svědčení</w:t>
      </w:r>
      <w:r w:rsidR="0005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F69" w:rsidRPr="00B14FB7">
        <w:rPr>
          <w:rFonts w:ascii="Times New Roman" w:hAnsi="Times New Roman" w:cs="Times New Roman"/>
          <w:b/>
          <w:sz w:val="24"/>
          <w:szCs w:val="24"/>
        </w:rPr>
        <w:t>o rekvalifikaci</w:t>
      </w:r>
      <w:r w:rsidR="00075F69" w:rsidRPr="00B14FB7">
        <w:rPr>
          <w:rFonts w:ascii="Times New Roman" w:hAnsi="Times New Roman" w:cs="Times New Roman"/>
          <w:sz w:val="24"/>
          <w:szCs w:val="24"/>
        </w:rPr>
        <w:t xml:space="preserve"> </w:t>
      </w:r>
      <w:r w:rsidR="006349E5">
        <w:rPr>
          <w:rFonts w:ascii="Times New Roman" w:hAnsi="Times New Roman" w:cs="Times New Roman"/>
          <w:sz w:val="24"/>
          <w:szCs w:val="24"/>
        </w:rPr>
        <w:t>jsou stanoveny v</w:t>
      </w:r>
      <w:r w:rsidR="001472EA" w:rsidRPr="00B14FB7">
        <w:rPr>
          <w:rFonts w:ascii="Times New Roman" w:hAnsi="Times New Roman" w:cs="Times New Roman"/>
          <w:sz w:val="24"/>
          <w:szCs w:val="24"/>
        </w:rPr>
        <w:t xml:space="preserve"> § 5</w:t>
      </w:r>
      <w:r w:rsidR="000A00E0" w:rsidRPr="00B14FB7">
        <w:rPr>
          <w:rFonts w:ascii="Times New Roman" w:hAnsi="Times New Roman" w:cs="Times New Roman"/>
          <w:sz w:val="24"/>
          <w:szCs w:val="24"/>
        </w:rPr>
        <w:t xml:space="preserve"> vyhlášk</w:t>
      </w:r>
      <w:r w:rsidR="001472EA" w:rsidRPr="00B14FB7">
        <w:rPr>
          <w:rFonts w:ascii="Times New Roman" w:hAnsi="Times New Roman" w:cs="Times New Roman"/>
          <w:sz w:val="24"/>
          <w:szCs w:val="24"/>
        </w:rPr>
        <w:t>y</w:t>
      </w:r>
      <w:r w:rsidR="004E35EE" w:rsidRPr="00B14FB7">
        <w:rPr>
          <w:rFonts w:ascii="Times New Roman" w:hAnsi="Times New Roman" w:cs="Times New Roman"/>
          <w:sz w:val="24"/>
          <w:szCs w:val="24"/>
        </w:rPr>
        <w:t xml:space="preserve"> č. </w:t>
      </w:r>
      <w:r w:rsidR="000A00E0" w:rsidRPr="00B14FB7">
        <w:rPr>
          <w:rFonts w:ascii="Times New Roman" w:hAnsi="Times New Roman" w:cs="Times New Roman"/>
          <w:sz w:val="24"/>
          <w:szCs w:val="24"/>
        </w:rPr>
        <w:t>176/2009 Sb.</w:t>
      </w:r>
      <w:r w:rsidR="006349E5">
        <w:rPr>
          <w:rFonts w:ascii="Times New Roman" w:hAnsi="Times New Roman" w:cs="Times New Roman"/>
          <w:sz w:val="24"/>
          <w:szCs w:val="24"/>
        </w:rPr>
        <w:t xml:space="preserve"> Jsou jimi: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identifikační údaje rekvalifikačního zařízení,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číslo jednací a datum udělení akreditace,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název právního předpisu, podle kterého byl vzdělávací program akreditován a realizován,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jméno, popřípadě jména a příjmení, datum a místo narození absolventa vzdělávání,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název rekvalifikačního programu,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pracovní činnost, pro niž byla rekvalifikace uskutečněna,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datum zahájení a ukončení vzdělávání podle rekvalifikačního programu,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celkovou hodinovou dotaci vzdělávání podle rekvalifikačního programu s rozdělením výuky na teoretickou a praktickou, hodinové dotace výuky podle jednotlivých předmětů,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datum úspěšného vykonání závěrečné zkoušky,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místo a datum vydání osvědčení o rekvalifikaci,</w:t>
      </w:r>
    </w:p>
    <w:p w:rsidR="00075F69" w:rsidRPr="00B14FB7" w:rsidRDefault="00075F69" w:rsidP="00172AE0">
      <w:pPr>
        <w:pStyle w:val="Odstavecseseznamem"/>
        <w:numPr>
          <w:ilvl w:val="0"/>
          <w:numId w:val="7"/>
        </w:numPr>
        <w:spacing w:line="276" w:lineRule="auto"/>
        <w:jc w:val="both"/>
      </w:pPr>
      <w:r w:rsidRPr="00B14FB7">
        <w:t>podpis předsedy zkušební komise a podpis osoby, která je oprávněna jednat za rekvalifikační zařízení.</w:t>
      </w:r>
    </w:p>
    <w:p w:rsidR="00D85EAB" w:rsidRPr="00B14FB7" w:rsidRDefault="00D85EAB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5987" w:rsidRPr="00545987" w:rsidRDefault="00545987" w:rsidP="00172AE0">
      <w:pPr>
        <w:pStyle w:val="Normlnweb"/>
        <w:spacing w:before="0" w:beforeAutospacing="0" w:after="0" w:afterAutospacing="0" w:line="276" w:lineRule="auto"/>
        <w:jc w:val="both"/>
        <w:rPr>
          <w:rStyle w:val="Siln"/>
          <w:b w:val="0"/>
        </w:rPr>
      </w:pPr>
      <w:r w:rsidRPr="00545987">
        <w:rPr>
          <w:rStyle w:val="Siln"/>
          <w:b w:val="0"/>
        </w:rPr>
        <w:t>Absence některých z těchto náležitostí</w:t>
      </w:r>
      <w:r w:rsidR="003A4E8B">
        <w:rPr>
          <w:rStyle w:val="Siln"/>
          <w:b w:val="0"/>
        </w:rPr>
        <w:t xml:space="preserve"> osvědčení</w:t>
      </w:r>
      <w:r w:rsidRPr="00545987">
        <w:rPr>
          <w:rStyle w:val="Siln"/>
          <w:b w:val="0"/>
        </w:rPr>
        <w:t xml:space="preserve"> sama o sobě nezakládá pochybnost o absolvování rekvalifikačního programu.</w:t>
      </w:r>
      <w:r w:rsidR="00D179DD">
        <w:rPr>
          <w:rStyle w:val="Siln"/>
          <w:b w:val="0"/>
        </w:rPr>
        <w:t xml:space="preserve"> </w:t>
      </w:r>
      <w:r w:rsidR="007956BD">
        <w:rPr>
          <w:rStyle w:val="Siln"/>
          <w:b w:val="0"/>
        </w:rPr>
        <w:t xml:space="preserve">Nezbytné však je, aby osvědčení obsahovalo minimálně </w:t>
      </w:r>
      <w:r w:rsidR="00583679">
        <w:rPr>
          <w:rStyle w:val="Siln"/>
          <w:b w:val="0"/>
        </w:rPr>
        <w:t xml:space="preserve">údaje nezbytné pro jednoznačnou identifikaci rekvalifikačního zařízení, absolventa, rekvalifikačního programu a </w:t>
      </w:r>
      <w:r w:rsidR="004D1BC1">
        <w:rPr>
          <w:rStyle w:val="Siln"/>
          <w:b w:val="0"/>
        </w:rPr>
        <w:t xml:space="preserve">doby konání rekvalifikačního programu </w:t>
      </w:r>
      <w:r w:rsidR="002C5B68">
        <w:rPr>
          <w:rStyle w:val="Siln"/>
          <w:b w:val="0"/>
        </w:rPr>
        <w:t>(</w:t>
      </w:r>
      <w:r w:rsidR="004D1BC1">
        <w:rPr>
          <w:rStyle w:val="Siln"/>
          <w:b w:val="0"/>
        </w:rPr>
        <w:t xml:space="preserve">pro </w:t>
      </w:r>
      <w:r w:rsidR="002C5B68">
        <w:rPr>
          <w:rStyle w:val="Siln"/>
          <w:b w:val="0"/>
        </w:rPr>
        <w:t>posouzení, zda vzdělávání probíhalo v době, kdy byl příslušný program akreditován).</w:t>
      </w:r>
      <w:r w:rsidR="001919D5">
        <w:rPr>
          <w:rStyle w:val="Siln"/>
          <w:b w:val="0"/>
        </w:rPr>
        <w:t xml:space="preserve"> V opačném případě je žadatele nutné požádat, aby se obrátil na příslušné vzdělávací zařízení s žádostí o doplnění těchto údajů.</w:t>
      </w:r>
    </w:p>
    <w:p w:rsidR="00545987" w:rsidRDefault="00545987" w:rsidP="00172A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4AD" w:rsidRPr="00B14FB7" w:rsidRDefault="00B324AD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4FB7">
        <w:rPr>
          <w:rFonts w:ascii="Times New Roman" w:hAnsi="Times New Roman" w:cs="Times New Roman"/>
          <w:b/>
          <w:sz w:val="24"/>
          <w:szCs w:val="24"/>
        </w:rPr>
        <w:t>Vzory osvědčení</w:t>
      </w:r>
      <w:r w:rsidRPr="00B14FB7">
        <w:rPr>
          <w:rFonts w:ascii="Times New Roman" w:hAnsi="Times New Roman" w:cs="Times New Roman"/>
          <w:sz w:val="24"/>
          <w:szCs w:val="24"/>
        </w:rPr>
        <w:t xml:space="preserve"> o rekvalifikaci lze nalézt na stránkách Ministerstva školství, mládeže a tělovýchovy ČR: </w:t>
      </w:r>
      <w:hyperlink r:id="rId13" w:history="1">
        <w:r w:rsidRPr="000765DF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http://www.msmt.cz/vzdelavani/dalsi-vzdelavani/osvedceni</w:t>
        </w:r>
      </w:hyperlink>
      <w:r w:rsidRPr="000765DF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:rsidR="00195D4A" w:rsidRDefault="00195D4A" w:rsidP="00172AE0">
      <w:pPr>
        <w:pStyle w:val="Normlnweb"/>
        <w:spacing w:before="0" w:beforeAutospacing="0" w:after="0" w:afterAutospacing="0" w:line="276" w:lineRule="auto"/>
        <w:rPr>
          <w:rStyle w:val="Siln"/>
          <w:b w:val="0"/>
        </w:rPr>
      </w:pPr>
    </w:p>
    <w:p w:rsidR="00A32C74" w:rsidRPr="00B14FB7" w:rsidRDefault="00A32C74" w:rsidP="00172AE0">
      <w:pPr>
        <w:pStyle w:val="Normlnweb"/>
        <w:spacing w:before="0" w:beforeAutospacing="0" w:after="0" w:afterAutospacing="0" w:line="276" w:lineRule="auto"/>
        <w:rPr>
          <w:b/>
        </w:rPr>
      </w:pPr>
      <w:r w:rsidRPr="00B14FB7">
        <w:rPr>
          <w:rStyle w:val="Siln"/>
          <w:b w:val="0"/>
        </w:rPr>
        <w:t>Kopie vydaných osvědčení je vzdělávací zařízení povinno uchovávat po dobu své existence.</w:t>
      </w:r>
    </w:p>
    <w:p w:rsidR="0028291B" w:rsidRDefault="0028291B" w:rsidP="00172AE0">
      <w:pPr>
        <w:pStyle w:val="Normlnweb"/>
        <w:spacing w:before="0" w:beforeAutospacing="0" w:after="0" w:afterAutospacing="0" w:line="276" w:lineRule="auto"/>
        <w:jc w:val="both"/>
      </w:pPr>
    </w:p>
    <w:p w:rsidR="00953850" w:rsidRPr="00B14FB7" w:rsidRDefault="00953850" w:rsidP="00172AE0">
      <w:pPr>
        <w:pStyle w:val="Normlnweb"/>
        <w:spacing w:before="0" w:beforeAutospacing="0" w:after="0" w:afterAutospacing="0" w:line="276" w:lineRule="auto"/>
        <w:jc w:val="both"/>
      </w:pPr>
      <w:r w:rsidRPr="00B14FB7">
        <w:t xml:space="preserve">V případě, že rekvalifikační program je realizován </w:t>
      </w:r>
      <w:r w:rsidRPr="00B14FB7">
        <w:rPr>
          <w:b/>
        </w:rPr>
        <w:t>v návaznosti na profesní kvalifikaci</w:t>
      </w:r>
      <w:r w:rsidRPr="00B14FB7">
        <w:t xml:space="preserve"> a zkoušen v souladu s hodnotícím standardem profesní kvalifikace, jsou výstupy z tohoto kurzu dva. Jedním z nich je </w:t>
      </w:r>
      <w:r w:rsidRPr="00B14FB7">
        <w:rPr>
          <w:rStyle w:val="Siln"/>
        </w:rPr>
        <w:t>Osvědčení o účasti v akreditovaném vzdělávacím programu</w:t>
      </w:r>
      <w:r w:rsidRPr="00B14FB7">
        <w:t xml:space="preserve">, které je vydáváno pouze za splnění 80% účasti na vzdělávání. Druhým výstupem je </w:t>
      </w:r>
      <w:r w:rsidR="00490500">
        <w:t>(</w:t>
      </w:r>
      <w:r w:rsidRPr="00B14FB7">
        <w:t>po úspěšném složení závěrečné zkoušky dle hodnotícího standardu</w:t>
      </w:r>
      <w:r w:rsidR="00490500">
        <w:t xml:space="preserve"> příslušné profesní kvalifikace)</w:t>
      </w:r>
      <w:r w:rsidRPr="00B14FB7">
        <w:t xml:space="preserve"> </w:t>
      </w:r>
      <w:r w:rsidRPr="00B14FB7">
        <w:rPr>
          <w:rStyle w:val="Siln"/>
        </w:rPr>
        <w:t>Osvědčení o získání profesní kvalifikace</w:t>
      </w:r>
      <w:r w:rsidRPr="00B14FB7">
        <w:t>. První z výše uvedených dokladů nenahrazuje druhý.</w:t>
      </w:r>
    </w:p>
    <w:p w:rsidR="00E232F4" w:rsidRDefault="00E232F4" w:rsidP="00172AE0">
      <w:pPr>
        <w:pStyle w:val="Normlnweb"/>
        <w:spacing w:before="0" w:beforeAutospacing="0" w:after="0" w:afterAutospacing="0" w:line="276" w:lineRule="auto"/>
        <w:jc w:val="both"/>
        <w:rPr>
          <w:rStyle w:val="Siln"/>
        </w:rPr>
      </w:pPr>
    </w:p>
    <w:p w:rsidR="008813DD" w:rsidRPr="00B14FB7" w:rsidRDefault="008813DD" w:rsidP="00172AE0">
      <w:pPr>
        <w:pStyle w:val="Normlnweb"/>
        <w:spacing w:before="0" w:beforeAutospacing="0" w:after="0" w:afterAutospacing="0" w:line="276" w:lineRule="auto"/>
        <w:jc w:val="both"/>
      </w:pPr>
      <w:r w:rsidRPr="00B14FB7">
        <w:rPr>
          <w:rStyle w:val="Siln"/>
        </w:rPr>
        <w:lastRenderedPageBreak/>
        <w:t>V případě zkoušek, které jsou realizovány dle jiných právních předpisů</w:t>
      </w:r>
      <w:r w:rsidRPr="00B14FB7">
        <w:t xml:space="preserve"> (např. zákon</w:t>
      </w:r>
      <w:r w:rsidR="00D97019">
        <w:br/>
      </w:r>
      <w:r w:rsidRPr="00B14FB7">
        <w:t>č. 179/2006 Sb.,</w:t>
      </w:r>
      <w:r w:rsidR="00694325">
        <w:t xml:space="preserve"> </w:t>
      </w:r>
      <w:r w:rsidR="00694325" w:rsidRPr="00694325">
        <w:t>o ověřování a uznávání výsledků dalšího vzdělávání</w:t>
      </w:r>
      <w:r w:rsidR="00694325">
        <w:t>,</w:t>
      </w:r>
      <w:r w:rsidRPr="00B14FB7">
        <w:t xml:space="preserve"> vyhláška č. 50/1978 Sb.</w:t>
      </w:r>
      <w:r w:rsidR="00694325">
        <w:t>,</w:t>
      </w:r>
      <w:r w:rsidR="000B09A0">
        <w:br/>
      </w:r>
      <w:r w:rsidR="00694325" w:rsidRPr="00694325">
        <w:t>o odborné způsobilosti v elektrotechnice</w:t>
      </w:r>
      <w:r w:rsidRPr="00B14FB7">
        <w:t>), je závěrečná zkouška realizována v</w:t>
      </w:r>
      <w:r w:rsidR="00694325">
        <w:t> </w:t>
      </w:r>
      <w:r w:rsidRPr="00B14FB7">
        <w:t>souladu</w:t>
      </w:r>
      <w:r w:rsidR="00694325">
        <w:t xml:space="preserve"> </w:t>
      </w:r>
      <w:r w:rsidRPr="00B14FB7">
        <w:t>s příslušným právním předpisem a na závěr kurzu je vydáno „</w:t>
      </w:r>
      <w:r w:rsidR="00490500">
        <w:t>O</w:t>
      </w:r>
      <w:r w:rsidRPr="00B14FB7">
        <w:t xml:space="preserve">svědčení o účasti v akreditovaném vzdělávacím programu“. </w:t>
      </w:r>
      <w:r w:rsidRPr="00B14FB7">
        <w:rPr>
          <w:rStyle w:val="Siln"/>
          <w:b w:val="0"/>
        </w:rPr>
        <w:t>Závěrečná zkouška</w:t>
      </w:r>
      <w:r w:rsidRPr="00B14FB7">
        <w:rPr>
          <w:b/>
        </w:rPr>
        <w:t xml:space="preserve"> </w:t>
      </w:r>
      <w:r w:rsidRPr="00B14FB7">
        <w:t>je v případě vazby na zákon č. 179/2006 Sb. realizována dle tohoto zákona u autorizované osoby. Není-li jmenována žádná autorizovaná osoba, koná se na závěr kurzu zkouška rekvalifikační a je vydáno „Osvědčení o rekvalifikaci“.</w:t>
      </w:r>
    </w:p>
    <w:p w:rsidR="00595AB8" w:rsidRDefault="00595AB8" w:rsidP="00172AE0">
      <w:pPr>
        <w:pStyle w:val="Nadpis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</w:p>
    <w:p w:rsidR="007D6296" w:rsidRPr="00B14FB7" w:rsidRDefault="00FF7C86" w:rsidP="00172AE0">
      <w:pPr>
        <w:pStyle w:val="Nadpis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</w:pPr>
      <w:r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Pracovní činnosti v oblasti </w:t>
      </w:r>
      <w:r w:rsidRPr="00B14FB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cs-CZ"/>
        </w:rPr>
        <w:t>elektrotechniky</w:t>
      </w:r>
      <w:r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jsou upraveny zvláštním právním předpisem.</w:t>
      </w:r>
      <w:r w:rsidR="00351087"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</w:t>
      </w:r>
      <w:r w:rsidR="007D6296"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ořádání rekvalifikačních kurzů provázaných s vyhláškou č. 50/1978 Sb.</w:t>
      </w:r>
      <w:r w:rsidR="00C045F4"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 </w:t>
      </w:r>
      <w:r w:rsidR="00351087"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 xml:space="preserve">proto </w:t>
      </w:r>
      <w:r w:rsidR="007D6296" w:rsidRPr="00B14FB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t>probíhá v souladu s § 108 odst. 2 písm. d) zákona č. 435/2004 Sb., o zaměstnanosti, tedy bez udělené akreditace MŠMT.</w:t>
      </w:r>
    </w:p>
    <w:p w:rsidR="002B77D1" w:rsidRDefault="002B77D1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0751" w:rsidRPr="00E70751" w:rsidRDefault="00E70751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Rekvalifikační kurzy </w:t>
      </w:r>
      <w:r w:rsidRPr="00881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svařování</w:t>
      </w:r>
      <w:r w:rsidRPr="00063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realizovány institucemi dle zvláštních právních předpisů. Průběh vzdělávání a zkoušky je realizován dle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ČSN 05 0705 resp. ČSN EN 287</w:t>
      </w:r>
      <w:r w:rsidR="00786C57">
        <w:rPr>
          <w:rFonts w:ascii="Times New Roman" w:eastAsia="Times New Roman" w:hAnsi="Times New Roman" w:cs="Times New Roman"/>
          <w:sz w:val="24"/>
          <w:szCs w:val="24"/>
          <w:lang w:eastAsia="cs-CZ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63739">
        <w:rPr>
          <w:rFonts w:ascii="Times New Roman" w:eastAsia="Times New Roman" w:hAnsi="Times New Roman" w:cs="Times New Roman"/>
          <w:sz w:val="24"/>
          <w:szCs w:val="24"/>
          <w:lang w:eastAsia="cs-CZ"/>
        </w:rPr>
        <w:t>Akreditace tedy v těchto případech není ministerstvem udělována.</w:t>
      </w:r>
    </w:p>
    <w:p w:rsidR="00B40EEC" w:rsidRDefault="00B40EEC" w:rsidP="00172AE0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sz w:val="24"/>
          <w:szCs w:val="24"/>
        </w:rPr>
      </w:pPr>
    </w:p>
    <w:p w:rsidR="00B14FB7" w:rsidRDefault="00711355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876FEB" w:rsidRPr="00876F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urzy, které jsou akreditovány na základě </w:t>
      </w:r>
      <w:r w:rsidR="00876FEB" w:rsidRPr="000966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zákona </w:t>
      </w:r>
      <w:r w:rsidR="000966CB" w:rsidRPr="000966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115/2001 Sb.,</w:t>
      </w:r>
      <w:r w:rsidR="000966CB">
        <w:t xml:space="preserve"> </w:t>
      </w:r>
      <w:r w:rsidR="00876FEB" w:rsidRPr="00096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="006E6693" w:rsidRPr="000966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podpoře </w:t>
      </w:r>
      <w:r w:rsidR="00876FEB" w:rsidRPr="000966CB">
        <w:rPr>
          <w:rFonts w:ascii="Times New Roman" w:eastAsia="Times New Roman" w:hAnsi="Times New Roman" w:cs="Times New Roman"/>
          <w:sz w:val="24"/>
          <w:szCs w:val="24"/>
          <w:lang w:eastAsia="cs-CZ"/>
        </w:rPr>
        <w:t>sportu</w:t>
      </w:r>
      <w:r w:rsidR="00876FEB" w:rsidRPr="00876F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(např. Masér pro sportovní a rekondiční masáže, Instruktor Fitness, </w:t>
      </w:r>
      <w:r w:rsidR="00230B54" w:rsidRPr="00876F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Trenér</w:t>
      </w:r>
      <w:r w:rsidR="00230B5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…) nejsou</w:t>
      </w:r>
      <w:r w:rsidR="00876FEB" w:rsidRPr="00876F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uvedeny ve výše uveden</w:t>
      </w:r>
      <w:r w:rsidR="00C707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876FEB" w:rsidRPr="00876F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70709" w:rsidRPr="00C707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="00C70709" w:rsidRPr="00C70709">
        <w:rPr>
          <w:rFonts w:ascii="Times New Roman" w:hAnsi="Times New Roman" w:cs="Times New Roman"/>
          <w:sz w:val="24"/>
          <w:szCs w:val="24"/>
        </w:rPr>
        <w:t xml:space="preserve">atabázi </w:t>
      </w:r>
      <w:r w:rsidR="00C70709" w:rsidRPr="00C70709">
        <w:rPr>
          <w:rFonts w:ascii="Times New Roman" w:eastAsia="Times New Roman" w:hAnsi="Times New Roman" w:cs="Times New Roman"/>
          <w:sz w:val="24"/>
          <w:szCs w:val="24"/>
          <w:lang w:eastAsia="cs-CZ"/>
        </w:rPr>
        <w:t>udělených akreditací rekvalifikačních kurzů</w:t>
      </w:r>
      <w:r w:rsidR="00876FEB" w:rsidRPr="00C70709">
        <w:t xml:space="preserve">. </w:t>
      </w:r>
      <w:r w:rsidR="005E67C8" w:rsidRPr="005E67C8">
        <w:rPr>
          <w:rFonts w:ascii="Times New Roman" w:hAnsi="Times New Roman" w:cs="Times New Roman"/>
          <w:b/>
          <w:sz w:val="24"/>
          <w:szCs w:val="24"/>
        </w:rPr>
        <w:t>Seznam akreditovaných zařízení v oblasti sportu</w:t>
      </w:r>
      <w:r w:rsidR="005E67C8">
        <w:rPr>
          <w:rFonts w:ascii="Times New Roman" w:hAnsi="Times New Roman" w:cs="Times New Roman"/>
          <w:sz w:val="24"/>
          <w:szCs w:val="24"/>
        </w:rPr>
        <w:t xml:space="preserve"> je uveden na webových stránkách MŠMT:</w:t>
      </w:r>
    </w:p>
    <w:p w:rsidR="005E67C8" w:rsidRPr="000765DF" w:rsidRDefault="00DA2FF1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E67C8" w:rsidRPr="000765DF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http://www.msmt.cz/sport/aktualizovany-seznam-akreditovanych-zarizeni-v-oblasti</w:t>
        </w:r>
      </w:hyperlink>
      <w:r w:rsidR="005E67C8" w:rsidRPr="000765DF">
        <w:rPr>
          <w:rFonts w:ascii="Times New Roman" w:hAnsi="Times New Roman" w:cs="Times New Roman"/>
          <w:sz w:val="24"/>
          <w:szCs w:val="24"/>
        </w:rPr>
        <w:t>.</w:t>
      </w:r>
    </w:p>
    <w:p w:rsidR="009A51E1" w:rsidRPr="009A51E1" w:rsidRDefault="009A51E1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1D48" w:rsidRDefault="00AB0F27" w:rsidP="00172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Akreditovanými zařízeními v oblasti sportu je </w:t>
      </w:r>
      <w:r w:rsidR="00DA1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účastníkům vzdělávání vydáváno </w:t>
      </w:r>
      <w:r w:rsidR="00DA1D48" w:rsidRPr="00830E1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osvědčení o odborné způsobilosti</w:t>
      </w:r>
      <w:r w:rsidR="00DA1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Vzor </w:t>
      </w:r>
      <w:r w:rsidR="00DA1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tohoto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osvědčení </w:t>
      </w:r>
      <w:r w:rsidR="00275B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lze nalézt</w:t>
      </w:r>
      <w:r w:rsidR="00DA1D4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</w:t>
      </w:r>
      <w:r w:rsidR="00DA1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A1D48">
        <w:rPr>
          <w:rFonts w:ascii="Times New Roman" w:hAnsi="Times New Roman" w:cs="Times New Roman"/>
          <w:sz w:val="24"/>
          <w:szCs w:val="24"/>
        </w:rPr>
        <w:t>webových stránkách MŠMT:</w:t>
      </w:r>
    </w:p>
    <w:p w:rsidR="00B55D5F" w:rsidRPr="000765DF" w:rsidRDefault="00DA2FF1" w:rsidP="00172A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B55D5F" w:rsidRPr="000765D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http://www.msmt.cz/sport/metodicky-manual-pro-zadatele-o-akreditaci</w:t>
        </w:r>
      </w:hyperlink>
      <w:r w:rsidR="00B55D5F" w:rsidRPr="000765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F60A6" w:rsidRDefault="00FF60A6" w:rsidP="00172A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30E12" w:rsidRDefault="00FF60A6" w:rsidP="00172A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F60A6">
        <w:rPr>
          <w:rFonts w:ascii="Times New Roman" w:hAnsi="Times New Roman"/>
          <w:sz w:val="24"/>
          <w:szCs w:val="24"/>
        </w:rPr>
        <w:t>Počet vyučovacích hodin pro jednotlivé kvalifikace v oblasti sportu je minimálně 150 hodin při středoškolském vzdělání a 200 hodin při vzdělání základním. U rekvalifikačních vzdělávacích programů je třeba dodržet hodinovou dotaci, uvedenou v „Přehledu odborností pro žadatele o akreditaci vzdělávacích zařízení působících v oblasti sportu“.</w:t>
      </w:r>
      <w:r w:rsidR="00B40EEC">
        <w:rPr>
          <w:rFonts w:ascii="Times New Roman" w:hAnsi="Times New Roman"/>
          <w:sz w:val="24"/>
          <w:szCs w:val="24"/>
        </w:rPr>
        <w:t xml:space="preserve"> Tento přehled</w:t>
      </w:r>
      <w:r w:rsidR="00830E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uveden na </w:t>
      </w:r>
      <w:r w:rsidR="00830E12">
        <w:rPr>
          <w:rFonts w:ascii="Times New Roman" w:hAnsi="Times New Roman" w:cs="Times New Roman"/>
          <w:sz w:val="24"/>
          <w:szCs w:val="24"/>
        </w:rPr>
        <w:t>webových stránkách MŠMT</w:t>
      </w:r>
      <w:r w:rsidR="00830E12" w:rsidRPr="000765DF">
        <w:rPr>
          <w:rFonts w:ascii="Times New Roman" w:hAnsi="Times New Roman" w:cs="Times New Roman"/>
          <w:sz w:val="24"/>
          <w:szCs w:val="24"/>
        </w:rPr>
        <w:t>:</w:t>
      </w:r>
      <w:r w:rsidR="00830E12" w:rsidRPr="00076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6" w:history="1">
        <w:r w:rsidR="008E0BD9" w:rsidRPr="00D40DD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http://www.msmt.cz/sport-1/prehl</w:t>
        </w:r>
        <w:bookmarkStart w:id="0" w:name="_GoBack"/>
        <w:bookmarkEnd w:id="0"/>
        <w:r w:rsidR="008E0BD9" w:rsidRPr="00D40DD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e</w:t>
        </w:r>
        <w:r w:rsidR="008E0BD9" w:rsidRPr="00D40DD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d-odbornosti-v-oblasti-sportu-1</w:t>
        </w:r>
      </w:hyperlink>
      <w:r w:rsidR="00830E1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:rsidR="00AF396E" w:rsidRDefault="00874656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C6833" w:rsidRDefault="00CC6833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C6833" w:rsidRDefault="00CC6833" w:rsidP="00172AE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5A145E" w:rsidRPr="005B3359" w:rsidRDefault="00AF396E" w:rsidP="00DA64B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B335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 KŽÚ</w:t>
      </w:r>
    </w:p>
    <w:p w:rsidR="00E50240" w:rsidRPr="00197152" w:rsidRDefault="00E50240" w:rsidP="00DA64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:rsidR="008B47D6" w:rsidRPr="00AB2718" w:rsidRDefault="008B47D6" w:rsidP="00DA64B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="Times New Roman"/>
          <w:bCs/>
          <w:color w:val="C00000"/>
          <w:u w:val="single"/>
        </w:rPr>
      </w:pPr>
      <w:r w:rsidRPr="00AB2718">
        <w:rPr>
          <w:b/>
          <w:color w:val="C00000"/>
        </w:rPr>
        <w:t>ze zápisu z porady s ObŽÚ ze dne 23.6.2014</w:t>
      </w:r>
    </w:p>
    <w:p w:rsidR="008B47D6" w:rsidRPr="00986A01" w:rsidRDefault="00986A01" w:rsidP="008B47D6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AB2718">
        <w:rPr>
          <w:rFonts w:ascii="Times New Roman" w:hAnsi="Times New Roman" w:cs="Times New Roman"/>
          <w:color w:val="C00000"/>
          <w:sz w:val="24"/>
          <w:szCs w:val="24"/>
        </w:rPr>
        <w:t>Osvědčení o absolvování kurzu ve Slovenské republice bez jeho uznání příslušným uznávacím orgánem (v tomto případě MPO) nelze považovat za doklad prokazující požadovanou odbornou způsobilost dle ŽZ</w:t>
      </w:r>
      <w:r w:rsidR="00AB2718" w:rsidRPr="00AB2718">
        <w:rPr>
          <w:rFonts w:ascii="Times New Roman" w:hAnsi="Times New Roman" w:cs="Times New Roman"/>
          <w:color w:val="C00000"/>
          <w:sz w:val="24"/>
          <w:szCs w:val="24"/>
        </w:rPr>
        <w:t>, protože</w:t>
      </w:r>
      <w:r w:rsidRPr="00AB2718">
        <w:rPr>
          <w:rFonts w:ascii="Times New Roman" w:hAnsi="Times New Roman" w:cs="Times New Roman"/>
          <w:color w:val="C00000"/>
          <w:sz w:val="24"/>
          <w:szCs w:val="24"/>
        </w:rPr>
        <w:t xml:space="preserve"> Dohoda mezi vládou České republiky a vládou Slovenské republiky o vzájemném uznávání rovnocennosti dokladů o vzdělání vydávaných v České republice a ve Slovenské republice se vztahuje pouze na doklady o ukončení vzdělávání na základních, středních, vyšších odborných a vysokých školách</w:t>
      </w:r>
      <w:r w:rsidR="00AB2718" w:rsidRPr="00AB2718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254EE" w:rsidRPr="00D60089" w:rsidRDefault="00197152" w:rsidP="00DA64B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="Times New Roman"/>
          <w:bCs/>
          <w:u w:val="single"/>
        </w:rPr>
      </w:pPr>
      <w:r w:rsidRPr="00197152">
        <w:rPr>
          <w:b/>
        </w:rPr>
        <w:lastRenderedPageBreak/>
        <w:t>ze zápisu z porady s ObŽÚ ze dne 27.6.2013</w:t>
      </w:r>
    </w:p>
    <w:p w:rsidR="00197152" w:rsidRDefault="00197152" w:rsidP="00DA64B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3BEA">
        <w:rPr>
          <w:rFonts w:ascii="Times New Roman" w:hAnsi="Times New Roman" w:cs="Times New Roman"/>
          <w:sz w:val="24"/>
          <w:szCs w:val="24"/>
        </w:rPr>
        <w:t>Osvědčení o odborné způsobilosti</w:t>
      </w:r>
      <w:r w:rsidR="00A63BEA" w:rsidRPr="00A63BEA">
        <w:rPr>
          <w:rFonts w:ascii="Times New Roman" w:hAnsi="Times New Roman" w:cs="Times New Roman"/>
          <w:sz w:val="24"/>
          <w:szCs w:val="24"/>
        </w:rPr>
        <w:t xml:space="preserve"> vydané vzdělávacím zařízením, které je držitelem</w:t>
      </w:r>
      <w:r w:rsidRPr="00A63BEA">
        <w:rPr>
          <w:rFonts w:ascii="Times New Roman" w:hAnsi="Times New Roman" w:cs="Times New Roman"/>
          <w:sz w:val="24"/>
          <w:szCs w:val="24"/>
        </w:rPr>
        <w:t xml:space="preserve"> rozhodnutí o akreditaci k vydávání dokladu o odborné způsobilosti s celostátní platností podle § 3 odst. 1 písm. f) zákona č. 115 / 2001 Sb., o podpoře sportu = jiný doklad o odborné kvalifikaci pro příslušnou pracovní činnost </w:t>
      </w:r>
    </w:p>
    <w:p w:rsidR="00E50240" w:rsidRDefault="00E50240" w:rsidP="00DA64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73E" w:rsidRPr="00197152" w:rsidRDefault="0035373E" w:rsidP="00DA64B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="Times New Roman"/>
          <w:bCs/>
          <w:u w:val="single"/>
        </w:rPr>
      </w:pPr>
      <w:r w:rsidRPr="00197152">
        <w:rPr>
          <w:b/>
        </w:rPr>
        <w:t>ze zápisu z porady s ObŽÚ ze dne 2</w:t>
      </w:r>
      <w:r>
        <w:rPr>
          <w:b/>
        </w:rPr>
        <w:t>6</w:t>
      </w:r>
      <w:r w:rsidRPr="00197152">
        <w:rPr>
          <w:b/>
        </w:rPr>
        <w:t>.</w:t>
      </w:r>
      <w:r>
        <w:rPr>
          <w:b/>
        </w:rPr>
        <w:t>2</w:t>
      </w:r>
      <w:r w:rsidRPr="00197152">
        <w:rPr>
          <w:b/>
        </w:rPr>
        <w:t>.2013</w:t>
      </w:r>
    </w:p>
    <w:p w:rsidR="006254EE" w:rsidRPr="004C3EC8" w:rsidRDefault="00D60089" w:rsidP="00DA64B5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4C3EC8">
        <w:rPr>
          <w:rFonts w:ascii="Times New Roman" w:hAnsi="Times New Roman" w:cs="Times New Roman"/>
          <w:sz w:val="24"/>
          <w:szCs w:val="24"/>
        </w:rPr>
        <w:t>U</w:t>
      </w:r>
      <w:r w:rsidR="00E50240" w:rsidRPr="004C3EC8">
        <w:rPr>
          <w:rFonts w:ascii="Times New Roman" w:hAnsi="Times New Roman" w:cs="Times New Roman"/>
          <w:sz w:val="24"/>
          <w:szCs w:val="24"/>
        </w:rPr>
        <w:t>stanovení § 3 odst. 2 vyhlášky č. 176/2009 Sb., kterou se stanoví náležitosti žádosti o akreditaci vzdělávacího programu, organizace vzdělávání v rekvalifikačním zařízení a způsob jeho ukončení, stanoví, že „v případě úspěšného ukončení vzdělávání má účastník vzdělávání právo na vy</w:t>
      </w:r>
      <w:r w:rsidR="004C3EC8">
        <w:rPr>
          <w:rFonts w:ascii="Times New Roman" w:hAnsi="Times New Roman" w:cs="Times New Roman"/>
          <w:sz w:val="24"/>
          <w:szCs w:val="24"/>
        </w:rPr>
        <w:t>dání osvědčení o rekvalifikaci“. N</w:t>
      </w:r>
      <w:r w:rsidR="00E50240" w:rsidRPr="004C3EC8">
        <w:rPr>
          <w:rFonts w:ascii="Times New Roman" w:hAnsi="Times New Roman" w:cs="Times New Roman"/>
          <w:sz w:val="24"/>
          <w:szCs w:val="24"/>
        </w:rPr>
        <w:t xml:space="preserve">eexistuje žádný právní předpis Ministerstva školství, mládeže a tělovýchovy, který by podmiňoval vydání osvědčení o rekvalifikaci </w:t>
      </w:r>
      <w:r w:rsidR="00DA64B5">
        <w:rPr>
          <w:rFonts w:ascii="Times New Roman" w:hAnsi="Times New Roman" w:cs="Times New Roman"/>
          <w:sz w:val="24"/>
          <w:szCs w:val="24"/>
        </w:rPr>
        <w:t xml:space="preserve">úspěšnému absolventovi </w:t>
      </w:r>
      <w:r w:rsidR="00E50240" w:rsidRPr="004C3EC8">
        <w:rPr>
          <w:rFonts w:ascii="Times New Roman" w:hAnsi="Times New Roman" w:cs="Times New Roman"/>
          <w:sz w:val="24"/>
          <w:szCs w:val="24"/>
        </w:rPr>
        <w:t>dosažením středoškolského vzdělání s</w:t>
      </w:r>
      <w:r w:rsidR="004C3EC8">
        <w:rPr>
          <w:rFonts w:ascii="Times New Roman" w:hAnsi="Times New Roman" w:cs="Times New Roman"/>
          <w:sz w:val="24"/>
          <w:szCs w:val="24"/>
        </w:rPr>
        <w:t> </w:t>
      </w:r>
      <w:r w:rsidR="00E50240" w:rsidRPr="004C3EC8">
        <w:rPr>
          <w:rFonts w:ascii="Times New Roman" w:hAnsi="Times New Roman" w:cs="Times New Roman"/>
          <w:sz w:val="24"/>
          <w:szCs w:val="24"/>
        </w:rPr>
        <w:t>maturitou</w:t>
      </w:r>
      <w:r w:rsidR="004C3EC8">
        <w:rPr>
          <w:rFonts w:ascii="Times New Roman" w:hAnsi="Times New Roman" w:cs="Times New Roman"/>
          <w:sz w:val="24"/>
          <w:szCs w:val="24"/>
        </w:rPr>
        <w:t>.</w:t>
      </w:r>
      <w:r w:rsidR="00472538" w:rsidRPr="004C3EC8">
        <w:rPr>
          <w:rFonts w:ascii="Times New Roman" w:hAnsi="Times New Roman" w:cs="Times New Roman"/>
          <w:sz w:val="24"/>
          <w:szCs w:val="24"/>
        </w:rPr>
        <w:t xml:space="preserve"> </w:t>
      </w:r>
      <w:r w:rsidR="004C3EC8">
        <w:rPr>
          <w:rFonts w:ascii="Times New Roman" w:hAnsi="Times New Roman" w:cs="Times New Roman"/>
          <w:sz w:val="24"/>
          <w:szCs w:val="24"/>
        </w:rPr>
        <w:t>J</w:t>
      </w:r>
      <w:r w:rsidR="00472538" w:rsidRPr="004C3EC8">
        <w:rPr>
          <w:rFonts w:ascii="Times New Roman" w:hAnsi="Times New Roman" w:cs="Times New Roman"/>
          <w:sz w:val="24"/>
          <w:szCs w:val="24"/>
        </w:rPr>
        <w:t xml:space="preserve">edním ze vstupních předpokladů některých rekvalifikačních kurzů </w:t>
      </w:r>
      <w:r w:rsidR="004C3EC8">
        <w:rPr>
          <w:rFonts w:ascii="Times New Roman" w:hAnsi="Times New Roman" w:cs="Times New Roman"/>
          <w:sz w:val="24"/>
          <w:szCs w:val="24"/>
        </w:rPr>
        <w:t xml:space="preserve">však může být </w:t>
      </w:r>
      <w:r w:rsidR="00472538" w:rsidRPr="004C3EC8">
        <w:rPr>
          <w:rFonts w:ascii="Times New Roman" w:hAnsi="Times New Roman" w:cs="Times New Roman"/>
          <w:sz w:val="24"/>
          <w:szCs w:val="24"/>
        </w:rPr>
        <w:t>dosažení minimálně středního vzdělání</w:t>
      </w:r>
      <w:r w:rsidR="00E55386">
        <w:rPr>
          <w:rFonts w:ascii="Times New Roman" w:hAnsi="Times New Roman" w:cs="Times New Roman"/>
          <w:sz w:val="24"/>
          <w:szCs w:val="24"/>
        </w:rPr>
        <w:t>, tzn. že uchazeč se základním vzděláním nebude do kursu vůbec přijat</w:t>
      </w:r>
      <w:r w:rsidR="00A62A10" w:rsidRPr="004C3EC8">
        <w:rPr>
          <w:rFonts w:ascii="Times New Roman" w:hAnsi="Times New Roman" w:cs="Times New Roman"/>
          <w:sz w:val="24"/>
          <w:szCs w:val="24"/>
        </w:rPr>
        <w:t>.</w:t>
      </w:r>
    </w:p>
    <w:p w:rsidR="00E50240" w:rsidRDefault="00E50240" w:rsidP="00DA64B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:rsidR="00A62A10" w:rsidRPr="00D60089" w:rsidRDefault="00A62A10" w:rsidP="00DA64B5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eastAsia="Times New Roman"/>
          <w:bCs/>
          <w:u w:val="single"/>
        </w:rPr>
      </w:pPr>
      <w:r w:rsidRPr="00197152">
        <w:rPr>
          <w:b/>
        </w:rPr>
        <w:t>ze zápisu z porady s ObŽÚ ze dne 2</w:t>
      </w:r>
      <w:r w:rsidR="00962AEB">
        <w:rPr>
          <w:b/>
        </w:rPr>
        <w:t>9</w:t>
      </w:r>
      <w:r w:rsidRPr="00197152">
        <w:rPr>
          <w:b/>
        </w:rPr>
        <w:t>.</w:t>
      </w:r>
      <w:r w:rsidR="00962AEB">
        <w:rPr>
          <w:b/>
        </w:rPr>
        <w:t>11</w:t>
      </w:r>
      <w:r w:rsidRPr="00197152">
        <w:rPr>
          <w:b/>
        </w:rPr>
        <w:t>.201</w:t>
      </w:r>
      <w:r w:rsidR="00962AEB">
        <w:rPr>
          <w:b/>
        </w:rPr>
        <w:t>2</w:t>
      </w:r>
    </w:p>
    <w:p w:rsidR="00A62A10" w:rsidRPr="00DA64B5" w:rsidRDefault="00DA64B5" w:rsidP="00DA64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64B5">
        <w:rPr>
          <w:rFonts w:ascii="Times New Roman" w:hAnsi="Times New Roman" w:cs="Times New Roman"/>
          <w:sz w:val="24"/>
          <w:szCs w:val="24"/>
        </w:rPr>
        <w:t>P</w:t>
      </w:r>
      <w:r w:rsidR="00D60089" w:rsidRPr="00DA64B5">
        <w:rPr>
          <w:rFonts w:ascii="Times New Roman" w:hAnsi="Times New Roman" w:cs="Times New Roman"/>
          <w:sz w:val="24"/>
          <w:szCs w:val="24"/>
        </w:rPr>
        <w:t>ři doložení odborné způsobilosti osvědčením o rekvalifikaci je potřeba, aby toto osvědčení splňovalo všechny náležitosti dle ustanovení § 5 vyhlášky č. 176/2009 Sb., kterou se stanoví náležitosti žádosti o akreditaci vzdělávacího programu, organizace vzdělávání v rekvalifikačním zařízení a způsob jeho ukončení.</w:t>
      </w:r>
    </w:p>
    <w:sectPr w:rsidR="00A62A10" w:rsidRPr="00DA64B5" w:rsidSect="00836056">
      <w:footerReference w:type="default" r:id="rId17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F1" w:rsidRDefault="00DA2FF1" w:rsidP="00DF4F84">
      <w:pPr>
        <w:spacing w:after="0" w:line="240" w:lineRule="auto"/>
      </w:pPr>
      <w:r>
        <w:separator/>
      </w:r>
    </w:p>
  </w:endnote>
  <w:endnote w:type="continuationSeparator" w:id="0">
    <w:p w:rsidR="00DA2FF1" w:rsidRDefault="00DA2FF1" w:rsidP="00DF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0613"/>
      <w:docPartObj>
        <w:docPartGallery w:val="Page Numbers (Bottom of Page)"/>
        <w:docPartUnique/>
      </w:docPartObj>
    </w:sdtPr>
    <w:sdtEndPr/>
    <w:sdtContent>
      <w:p w:rsidR="00F54234" w:rsidRDefault="00F542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D9">
          <w:rPr>
            <w:noProof/>
          </w:rPr>
          <w:t>1</w:t>
        </w:r>
        <w:r>
          <w:fldChar w:fldCharType="end"/>
        </w:r>
      </w:p>
    </w:sdtContent>
  </w:sdt>
  <w:p w:rsidR="00F54234" w:rsidRDefault="00F542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2594"/>
      <w:docPartObj>
        <w:docPartGallery w:val="Page Numbers (Bottom of Page)"/>
        <w:docPartUnique/>
      </w:docPartObj>
    </w:sdtPr>
    <w:sdtEndPr/>
    <w:sdtContent>
      <w:p w:rsidR="00B40EEC" w:rsidRDefault="00B40EE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234">
          <w:rPr>
            <w:noProof/>
          </w:rPr>
          <w:t>4</w:t>
        </w:r>
        <w:r>
          <w:fldChar w:fldCharType="end"/>
        </w:r>
      </w:p>
    </w:sdtContent>
  </w:sdt>
  <w:p w:rsidR="00B40EEC" w:rsidRDefault="00B40EE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427412"/>
      <w:docPartObj>
        <w:docPartGallery w:val="Page Numbers (Bottom of Page)"/>
        <w:docPartUnique/>
      </w:docPartObj>
    </w:sdtPr>
    <w:sdtEndPr/>
    <w:sdtContent>
      <w:p w:rsidR="00AC3233" w:rsidRDefault="00AC32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D9">
          <w:rPr>
            <w:noProof/>
          </w:rPr>
          <w:t>5</w:t>
        </w:r>
        <w:r>
          <w:fldChar w:fldCharType="end"/>
        </w:r>
      </w:p>
    </w:sdtContent>
  </w:sdt>
  <w:p w:rsidR="00AC3233" w:rsidRDefault="00AC3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F1" w:rsidRDefault="00DA2FF1" w:rsidP="00DF4F84">
      <w:pPr>
        <w:spacing w:after="0" w:line="240" w:lineRule="auto"/>
      </w:pPr>
      <w:r>
        <w:separator/>
      </w:r>
    </w:p>
  </w:footnote>
  <w:footnote w:type="continuationSeparator" w:id="0">
    <w:p w:rsidR="00DA2FF1" w:rsidRDefault="00DA2FF1" w:rsidP="00DF4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E25"/>
    <w:multiLevelType w:val="multilevel"/>
    <w:tmpl w:val="D60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E5FA9"/>
    <w:multiLevelType w:val="hybridMultilevel"/>
    <w:tmpl w:val="1AB01BE0"/>
    <w:lvl w:ilvl="0" w:tplc="7B2247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8F7"/>
    <w:multiLevelType w:val="hybridMultilevel"/>
    <w:tmpl w:val="AC20FC6A"/>
    <w:lvl w:ilvl="0" w:tplc="BD9458B0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41AA1"/>
    <w:multiLevelType w:val="hybridMultilevel"/>
    <w:tmpl w:val="7500EB2A"/>
    <w:lvl w:ilvl="0" w:tplc="33EA0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AADA">
      <w:start w:val="696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4FB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8AC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2575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E238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22BF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41A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E5E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36D0"/>
    <w:multiLevelType w:val="hybridMultilevel"/>
    <w:tmpl w:val="2D4ABB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018E"/>
    <w:multiLevelType w:val="hybridMultilevel"/>
    <w:tmpl w:val="AA109432"/>
    <w:lvl w:ilvl="0" w:tplc="D76AAA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CA2E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676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EF9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C859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AE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DC08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6E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8F2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35C6"/>
    <w:multiLevelType w:val="hybridMultilevel"/>
    <w:tmpl w:val="6EF8B932"/>
    <w:lvl w:ilvl="0" w:tplc="43EC120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6F8D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A464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74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000C1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261D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60F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005B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4C58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C6F96"/>
    <w:multiLevelType w:val="hybridMultilevel"/>
    <w:tmpl w:val="26C0124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A818D7"/>
    <w:multiLevelType w:val="hybridMultilevel"/>
    <w:tmpl w:val="AEE8A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86AD7"/>
    <w:multiLevelType w:val="hybridMultilevel"/>
    <w:tmpl w:val="B26698B4"/>
    <w:lvl w:ilvl="0" w:tplc="C36A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371E89"/>
    <w:multiLevelType w:val="hybridMultilevel"/>
    <w:tmpl w:val="051429E2"/>
    <w:lvl w:ilvl="0" w:tplc="4D8427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10CFB"/>
    <w:multiLevelType w:val="hybridMultilevel"/>
    <w:tmpl w:val="75665A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39"/>
    <w:rsid w:val="00011FDD"/>
    <w:rsid w:val="000130A1"/>
    <w:rsid w:val="00036EB4"/>
    <w:rsid w:val="00040B19"/>
    <w:rsid w:val="00051026"/>
    <w:rsid w:val="000555F3"/>
    <w:rsid w:val="000651B5"/>
    <w:rsid w:val="00075F69"/>
    <w:rsid w:val="000765DF"/>
    <w:rsid w:val="00090292"/>
    <w:rsid w:val="000966CB"/>
    <w:rsid w:val="000A00E0"/>
    <w:rsid w:val="000B09A0"/>
    <w:rsid w:val="000C0060"/>
    <w:rsid w:val="000C571F"/>
    <w:rsid w:val="001024AD"/>
    <w:rsid w:val="00117603"/>
    <w:rsid w:val="0012573C"/>
    <w:rsid w:val="00125B9F"/>
    <w:rsid w:val="00126C4B"/>
    <w:rsid w:val="001472EA"/>
    <w:rsid w:val="0015505C"/>
    <w:rsid w:val="00164D3C"/>
    <w:rsid w:val="00170625"/>
    <w:rsid w:val="00172AE0"/>
    <w:rsid w:val="00174D17"/>
    <w:rsid w:val="00184A05"/>
    <w:rsid w:val="001919D5"/>
    <w:rsid w:val="00195D4A"/>
    <w:rsid w:val="00197152"/>
    <w:rsid w:val="001A325B"/>
    <w:rsid w:val="001A632A"/>
    <w:rsid w:val="001F114B"/>
    <w:rsid w:val="001F227F"/>
    <w:rsid w:val="00211DDD"/>
    <w:rsid w:val="0022186E"/>
    <w:rsid w:val="00230B54"/>
    <w:rsid w:val="00242126"/>
    <w:rsid w:val="0024236B"/>
    <w:rsid w:val="002445AC"/>
    <w:rsid w:val="002554C9"/>
    <w:rsid w:val="00275BEF"/>
    <w:rsid w:val="0028291B"/>
    <w:rsid w:val="002B3F46"/>
    <w:rsid w:val="002B77D1"/>
    <w:rsid w:val="002C53BA"/>
    <w:rsid w:val="002C5B68"/>
    <w:rsid w:val="002D19BA"/>
    <w:rsid w:val="0031575C"/>
    <w:rsid w:val="00317936"/>
    <w:rsid w:val="003214B5"/>
    <w:rsid w:val="00351087"/>
    <w:rsid w:val="003532D9"/>
    <w:rsid w:val="0035373E"/>
    <w:rsid w:val="00383FDC"/>
    <w:rsid w:val="003A4E8B"/>
    <w:rsid w:val="003C1A42"/>
    <w:rsid w:val="003C4725"/>
    <w:rsid w:val="003E3619"/>
    <w:rsid w:val="003E760D"/>
    <w:rsid w:val="003F05AE"/>
    <w:rsid w:val="004059B6"/>
    <w:rsid w:val="004069FF"/>
    <w:rsid w:val="00433988"/>
    <w:rsid w:val="00454A48"/>
    <w:rsid w:val="00472538"/>
    <w:rsid w:val="00480D7F"/>
    <w:rsid w:val="00490500"/>
    <w:rsid w:val="004A6BD5"/>
    <w:rsid w:val="004C3EC8"/>
    <w:rsid w:val="004D1BC1"/>
    <w:rsid w:val="004E35EE"/>
    <w:rsid w:val="00504147"/>
    <w:rsid w:val="00515780"/>
    <w:rsid w:val="0051714F"/>
    <w:rsid w:val="0052499A"/>
    <w:rsid w:val="00524A9C"/>
    <w:rsid w:val="00526C35"/>
    <w:rsid w:val="00545987"/>
    <w:rsid w:val="00557863"/>
    <w:rsid w:val="005614F5"/>
    <w:rsid w:val="0056781E"/>
    <w:rsid w:val="00583679"/>
    <w:rsid w:val="00586797"/>
    <w:rsid w:val="00595AB8"/>
    <w:rsid w:val="005A145E"/>
    <w:rsid w:val="005A4177"/>
    <w:rsid w:val="005B2A36"/>
    <w:rsid w:val="005B3359"/>
    <w:rsid w:val="005E67C8"/>
    <w:rsid w:val="00600273"/>
    <w:rsid w:val="00607634"/>
    <w:rsid w:val="006254EE"/>
    <w:rsid w:val="006349E5"/>
    <w:rsid w:val="00662FCA"/>
    <w:rsid w:val="00671C88"/>
    <w:rsid w:val="006806C3"/>
    <w:rsid w:val="00686026"/>
    <w:rsid w:val="00694325"/>
    <w:rsid w:val="00694D15"/>
    <w:rsid w:val="006A5D6D"/>
    <w:rsid w:val="006D4D4D"/>
    <w:rsid w:val="006E1B61"/>
    <w:rsid w:val="006E1EC8"/>
    <w:rsid w:val="006E6693"/>
    <w:rsid w:val="006F0037"/>
    <w:rsid w:val="00703AD0"/>
    <w:rsid w:val="0070687E"/>
    <w:rsid w:val="00706983"/>
    <w:rsid w:val="00711355"/>
    <w:rsid w:val="00725ABF"/>
    <w:rsid w:val="00726DC5"/>
    <w:rsid w:val="00731C90"/>
    <w:rsid w:val="00781272"/>
    <w:rsid w:val="00786C57"/>
    <w:rsid w:val="0079037E"/>
    <w:rsid w:val="007956BD"/>
    <w:rsid w:val="007D384D"/>
    <w:rsid w:val="007D6296"/>
    <w:rsid w:val="007F6502"/>
    <w:rsid w:val="0080248F"/>
    <w:rsid w:val="008049D2"/>
    <w:rsid w:val="008138C2"/>
    <w:rsid w:val="00830E12"/>
    <w:rsid w:val="00836056"/>
    <w:rsid w:val="0084163E"/>
    <w:rsid w:val="008525B9"/>
    <w:rsid w:val="00852B3A"/>
    <w:rsid w:val="00852B4D"/>
    <w:rsid w:val="00871EA1"/>
    <w:rsid w:val="00874656"/>
    <w:rsid w:val="00876FEB"/>
    <w:rsid w:val="008813DD"/>
    <w:rsid w:val="00881E98"/>
    <w:rsid w:val="00890867"/>
    <w:rsid w:val="008B47D6"/>
    <w:rsid w:val="008B6FA0"/>
    <w:rsid w:val="008C4493"/>
    <w:rsid w:val="008C6CBD"/>
    <w:rsid w:val="008D4738"/>
    <w:rsid w:val="008D48ED"/>
    <w:rsid w:val="008E0BD9"/>
    <w:rsid w:val="008E2284"/>
    <w:rsid w:val="008F786E"/>
    <w:rsid w:val="009032ED"/>
    <w:rsid w:val="00913664"/>
    <w:rsid w:val="00953850"/>
    <w:rsid w:val="00962AEB"/>
    <w:rsid w:val="009660A0"/>
    <w:rsid w:val="009673D4"/>
    <w:rsid w:val="009712DF"/>
    <w:rsid w:val="00986A01"/>
    <w:rsid w:val="0099042F"/>
    <w:rsid w:val="009A51E1"/>
    <w:rsid w:val="009B606F"/>
    <w:rsid w:val="009C48B5"/>
    <w:rsid w:val="009D13A1"/>
    <w:rsid w:val="009D604A"/>
    <w:rsid w:val="009F2AE7"/>
    <w:rsid w:val="00A05FC3"/>
    <w:rsid w:val="00A156A6"/>
    <w:rsid w:val="00A32C74"/>
    <w:rsid w:val="00A36DD7"/>
    <w:rsid w:val="00A52FAE"/>
    <w:rsid w:val="00A62A10"/>
    <w:rsid w:val="00A63BEA"/>
    <w:rsid w:val="00A650FD"/>
    <w:rsid w:val="00A7406E"/>
    <w:rsid w:val="00A767E9"/>
    <w:rsid w:val="00A975C2"/>
    <w:rsid w:val="00AA6836"/>
    <w:rsid w:val="00AB0F27"/>
    <w:rsid w:val="00AB2718"/>
    <w:rsid w:val="00AC3233"/>
    <w:rsid w:val="00AD3A9A"/>
    <w:rsid w:val="00AD589B"/>
    <w:rsid w:val="00AE2A92"/>
    <w:rsid w:val="00AF396E"/>
    <w:rsid w:val="00AF6757"/>
    <w:rsid w:val="00B14FB7"/>
    <w:rsid w:val="00B324AD"/>
    <w:rsid w:val="00B3692F"/>
    <w:rsid w:val="00B40EEC"/>
    <w:rsid w:val="00B55D5F"/>
    <w:rsid w:val="00B631A1"/>
    <w:rsid w:val="00BA0121"/>
    <w:rsid w:val="00BA0473"/>
    <w:rsid w:val="00BA2CC8"/>
    <w:rsid w:val="00BA4D89"/>
    <w:rsid w:val="00BE13E7"/>
    <w:rsid w:val="00BF20D9"/>
    <w:rsid w:val="00BF214C"/>
    <w:rsid w:val="00C045F4"/>
    <w:rsid w:val="00C16724"/>
    <w:rsid w:val="00C25D86"/>
    <w:rsid w:val="00C37922"/>
    <w:rsid w:val="00C60BA1"/>
    <w:rsid w:val="00C63E5A"/>
    <w:rsid w:val="00C70709"/>
    <w:rsid w:val="00C748FC"/>
    <w:rsid w:val="00C82F8F"/>
    <w:rsid w:val="00CA2471"/>
    <w:rsid w:val="00CB5373"/>
    <w:rsid w:val="00CC6833"/>
    <w:rsid w:val="00CE0B19"/>
    <w:rsid w:val="00CE6F70"/>
    <w:rsid w:val="00D143B8"/>
    <w:rsid w:val="00D179DD"/>
    <w:rsid w:val="00D20CB7"/>
    <w:rsid w:val="00D34438"/>
    <w:rsid w:val="00D364D8"/>
    <w:rsid w:val="00D60089"/>
    <w:rsid w:val="00D62C4A"/>
    <w:rsid w:val="00D67163"/>
    <w:rsid w:val="00D73DA3"/>
    <w:rsid w:val="00D76D3A"/>
    <w:rsid w:val="00D85EAB"/>
    <w:rsid w:val="00D97019"/>
    <w:rsid w:val="00DA1D48"/>
    <w:rsid w:val="00DA2FF1"/>
    <w:rsid w:val="00DA64B5"/>
    <w:rsid w:val="00DB4994"/>
    <w:rsid w:val="00DB6033"/>
    <w:rsid w:val="00DE2030"/>
    <w:rsid w:val="00DF3634"/>
    <w:rsid w:val="00DF4F84"/>
    <w:rsid w:val="00E232F4"/>
    <w:rsid w:val="00E50240"/>
    <w:rsid w:val="00E53987"/>
    <w:rsid w:val="00E55386"/>
    <w:rsid w:val="00E557C0"/>
    <w:rsid w:val="00E70751"/>
    <w:rsid w:val="00E80529"/>
    <w:rsid w:val="00E82C10"/>
    <w:rsid w:val="00E85F11"/>
    <w:rsid w:val="00E86A99"/>
    <w:rsid w:val="00EC1E4A"/>
    <w:rsid w:val="00EC3536"/>
    <w:rsid w:val="00EC70DE"/>
    <w:rsid w:val="00ED6139"/>
    <w:rsid w:val="00F121C0"/>
    <w:rsid w:val="00F27264"/>
    <w:rsid w:val="00F54234"/>
    <w:rsid w:val="00F61BE7"/>
    <w:rsid w:val="00F72381"/>
    <w:rsid w:val="00F768F0"/>
    <w:rsid w:val="00F80AF0"/>
    <w:rsid w:val="00FB5BCF"/>
    <w:rsid w:val="00FE74BE"/>
    <w:rsid w:val="00FF60A6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52486-4689-4659-8AE4-AF3294BD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139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D6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613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613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C53B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5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385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D62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C90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A36DD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F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F84"/>
  </w:style>
  <w:style w:type="paragraph" w:styleId="Zpat">
    <w:name w:val="footer"/>
    <w:basedOn w:val="Normln"/>
    <w:link w:val="ZpatChar"/>
    <w:uiPriority w:val="99"/>
    <w:unhideWhenUsed/>
    <w:rsid w:val="00DF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7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4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0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kol.msmt.cz/" TargetMode="External"/><Relationship Id="rId13" Type="http://schemas.openxmlformats.org/officeDocument/2006/relationships/hyperlink" Target="http://www.msmt.cz/vzdelavani/dalsi-vzdelavani/osvedcen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smt.cz/sport-1/prehled-odbornosti-v-oblasti-sportu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smt.cz/sport/metodicky-manual-pro-zadatele-o-akreditaci" TargetMode="External"/><Relationship Id="rId10" Type="http://schemas.openxmlformats.org/officeDocument/2006/relationships/hyperlink" Target="http://www.msmt.cz/vzdelavani/dalsi-vzdelavani/minimalni-hodinove-dotace-vybranych-rekvalifikacnich-kurzu-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smt.cz/vzdelavani/dalsi-vzdelavani/databaze" TargetMode="External"/><Relationship Id="rId14" Type="http://schemas.openxmlformats.org/officeDocument/2006/relationships/hyperlink" Target="http://www.msmt.cz/sport/aktualizovany-seznam-akreditovanych-zarizeni-v-oblast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5DF4-B92F-41FC-B112-07592ADC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2239</Words>
  <Characters>13216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gistinger</dc:creator>
  <cp:lastModifiedBy>Gistinger Petr</cp:lastModifiedBy>
  <cp:revision>2</cp:revision>
  <cp:lastPrinted>2013-11-07T07:31:00Z</cp:lastPrinted>
  <dcterms:created xsi:type="dcterms:W3CDTF">2016-05-11T13:45:00Z</dcterms:created>
  <dcterms:modified xsi:type="dcterms:W3CDTF">2016-05-11T13:45:00Z</dcterms:modified>
</cp:coreProperties>
</file>