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CCD8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5E41416D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Systém </w:t>
      </w:r>
      <w:proofErr w:type="gramStart"/>
      <w:r>
        <w:rPr>
          <w:rFonts w:ascii="Arial" w:hAnsi="Arial" w:cs="Arial"/>
          <w:sz w:val="16"/>
          <w:szCs w:val="16"/>
        </w:rPr>
        <w:t>ASPI - stav</w:t>
      </w:r>
      <w:proofErr w:type="gramEnd"/>
      <w:r>
        <w:rPr>
          <w:rFonts w:ascii="Arial" w:hAnsi="Arial" w:cs="Arial"/>
          <w:sz w:val="16"/>
          <w:szCs w:val="16"/>
        </w:rPr>
        <w:t xml:space="preserve"> k 22.1.2023 do částky 9/2023 Sb. a 3/2023 </w:t>
      </w:r>
      <w:proofErr w:type="spellStart"/>
      <w:r>
        <w:rPr>
          <w:rFonts w:ascii="Arial" w:hAnsi="Arial" w:cs="Arial"/>
          <w:sz w:val="16"/>
          <w:szCs w:val="16"/>
        </w:rPr>
        <w:t>Sb.m.s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0877CCF7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310/2018 Sb. - o krajských </w:t>
      </w:r>
      <w:proofErr w:type="gramStart"/>
      <w:r>
        <w:rPr>
          <w:rFonts w:ascii="Arial" w:hAnsi="Arial" w:cs="Arial"/>
          <w:sz w:val="16"/>
          <w:szCs w:val="16"/>
        </w:rPr>
        <w:t>normativech - poslední</w:t>
      </w:r>
      <w:proofErr w:type="gramEnd"/>
      <w:r>
        <w:rPr>
          <w:rFonts w:ascii="Arial" w:hAnsi="Arial" w:cs="Arial"/>
          <w:sz w:val="16"/>
          <w:szCs w:val="16"/>
        </w:rPr>
        <w:t xml:space="preserve"> stav textu </w:t>
      </w:r>
    </w:p>
    <w:p w14:paraId="76FED573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94FA60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310/2018 Sb. </w:t>
      </w:r>
    </w:p>
    <w:p w14:paraId="6FA1EB34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1C929B8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VYHLÁŠKA</w:t>
      </w:r>
    </w:p>
    <w:p w14:paraId="0D524D31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968000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ze dne 12. prosince 2018 </w:t>
      </w:r>
    </w:p>
    <w:p w14:paraId="15D510D7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9F3BFD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krajských normativech </w:t>
      </w:r>
    </w:p>
    <w:p w14:paraId="0713ED6F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28869A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572/2020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6649291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111/2022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1FB95A6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4CCEF9D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Ministerstvo školství, mládeže a tělovýchovy stanoví podle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161c odst. 2 písm. b)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170 písm. f) zákona č. 561/2004 Sb.</w:t>
        </w:r>
      </w:hyperlink>
      <w:r>
        <w:rPr>
          <w:rFonts w:ascii="Arial" w:hAnsi="Arial" w:cs="Arial"/>
          <w:sz w:val="16"/>
          <w:szCs w:val="16"/>
        </w:rPr>
        <w:t>, o předškolním, základním, středním, vyšším odborném a jiném vzdělávání (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školský zákon</w:t>
        </w:r>
      </w:hyperlink>
      <w:r>
        <w:rPr>
          <w:rFonts w:ascii="Arial" w:hAnsi="Arial" w:cs="Arial"/>
          <w:sz w:val="16"/>
          <w:szCs w:val="16"/>
        </w:rPr>
        <w:t xml:space="preserve">), ve znění zákona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101/2017 Sb.</w:t>
        </w:r>
      </w:hyperlink>
      <w:r>
        <w:rPr>
          <w:rFonts w:ascii="Arial" w:hAnsi="Arial" w:cs="Arial"/>
          <w:sz w:val="16"/>
          <w:szCs w:val="16"/>
        </w:rPr>
        <w:t xml:space="preserve">: </w:t>
      </w:r>
    </w:p>
    <w:p w14:paraId="65113299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FCF0C3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</w:p>
    <w:p w14:paraId="25159F9C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998EB87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Jednotky výkonu pro jednotlivé krajské normativy </w:t>
      </w:r>
    </w:p>
    <w:p w14:paraId="0A907B4E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3D709F8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Jednotkou výkonu je: </w:t>
      </w:r>
    </w:p>
    <w:p w14:paraId="4BA6567F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7511317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1 žák kurzu pro získání základního vzdělání, </w:t>
      </w:r>
    </w:p>
    <w:p w14:paraId="0C5621BD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F5914F8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ve středisku volného času </w:t>
      </w:r>
    </w:p>
    <w:p w14:paraId="7786489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1 dítě, 1 žák, 1 student, který je přijat k 1 nebo více zájmovým, výchovným, rekreačním nebo vzdělávacím činnostem s pravidelnou docházkou podle vyhlášky upravující zájmové vzdělávání, které se konají v rozsahu nejvýše 3 hodiny týdně v průměru po dobu nejméně 5 po sobě jdoucích měsíců v období školního vyučování s výjimkou období školních prázdnin, </w:t>
      </w:r>
    </w:p>
    <w:p w14:paraId="759C4C5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1 dítě, 1 žák, 1 student, který je přijat k 1 nebo více zájmovým, výchovným, rekreačním nebo vzdělávacím činnostem s pravidelnou docházkou podle vyhlášky upravující zájmové vzdělávání, které se konají v rozsahu více než 3 hodiny týdně v průměru po dobu nejméně 5 po sobě jdoucích měsíců v období školního vyučování s výjimkou období školních prázdnin, </w:t>
      </w:r>
    </w:p>
    <w:p w14:paraId="0829339F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1 dítě, 1 žák, 1 student, který je přijat k 1 nebo více táborům, a to na dobu alespoň 5 po sobě jdoucích dnů, </w:t>
      </w:r>
    </w:p>
    <w:p w14:paraId="2FAE0D0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3370DE7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1 žák ve školním klubu, který se vzdělává v základní škole, v základní škole speciální, v nižším stupni šestiletého nebo osmiletého gymnázia nebo v odpovídajících ročnících v osmiletém vzdělávacím programu konzervatoře a který je přijat k 1 nebo více zájmovým, výchovným, rekreačním nebo vzdělávacím činnostem s pravidelnou </w:t>
      </w:r>
    </w:p>
    <w:p w14:paraId="321D2585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denní docházkou podle vyhlášky upravující zájmové vzdělávání, </w:t>
      </w:r>
    </w:p>
    <w:p w14:paraId="2335278D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docházkou podle vyhlášky upravující zájmové vzdělávání, </w:t>
      </w:r>
    </w:p>
    <w:p w14:paraId="493B0398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805C0F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1 dítě, 1 žák ve školní družině, který je přijat k pravidelné denní docházce podle vyhlášky upravující zájmové vzdělávání, </w:t>
      </w:r>
    </w:p>
    <w:p w14:paraId="0FC8F9B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C215CB7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1 stravovaný, který se zároveň vzdělává v mateřské škole, 1 stravovaný, který se zároveň vzdělává v základní škole, 1 stravovaný, který se zároveň nevzdělává v mateřské ani v základní škole, pro něhož v rámci školního stravování v jednotlivých typech zařízení školního stravování </w:t>
      </w:r>
    </w:p>
    <w:p w14:paraId="16EEB3E5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je poskytován oběd, </w:t>
      </w:r>
    </w:p>
    <w:p w14:paraId="5E7822B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je poskytován oběd a alespoň 1 předcházející nebo navazující doplňkové jídlo, </w:t>
      </w:r>
    </w:p>
    <w:p w14:paraId="41D9C8F6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je poskytován alespoň oběd a večeře, </w:t>
      </w:r>
    </w:p>
    <w:p w14:paraId="5AFF5B75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je poskytována večeře a alespoň 1 doplňkové jídlo, </w:t>
      </w:r>
    </w:p>
    <w:p w14:paraId="11648C65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96ABFF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1 ubytovaný v domově mládeže, který se zároveň vzdělává </w:t>
      </w:r>
    </w:p>
    <w:p w14:paraId="6F52D57F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 základní škole, střední škole nebo konzervatoři, </w:t>
      </w:r>
    </w:p>
    <w:p w14:paraId="57D54B8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ve vyšší odborné škole, </w:t>
      </w:r>
    </w:p>
    <w:p w14:paraId="2CBEF3D3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49CBC9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1 ubytovaný v internátě, který se zároveň vzdělává </w:t>
      </w:r>
    </w:p>
    <w:p w14:paraId="7BFAFB7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 základní škole speciální, ve třídě přípravného stupně základní školy speciální, nebo ve škole samostatně zřízené podle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16 odst. 9 školského zákona</w:t>
        </w:r>
      </w:hyperlink>
      <w:r>
        <w:rPr>
          <w:rFonts w:ascii="Arial" w:hAnsi="Arial" w:cs="Arial"/>
          <w:sz w:val="16"/>
          <w:szCs w:val="16"/>
        </w:rPr>
        <w:t xml:space="preserve"> pro děti nebo žáky s těžkým zdravotním postižením, </w:t>
      </w:r>
    </w:p>
    <w:p w14:paraId="668ECB1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ve škole samostatně zřízené podle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16 odst. 9 školského zákona</w:t>
        </w:r>
      </w:hyperlink>
      <w:r>
        <w:rPr>
          <w:rFonts w:ascii="Arial" w:hAnsi="Arial" w:cs="Arial"/>
          <w:sz w:val="16"/>
          <w:szCs w:val="16"/>
        </w:rPr>
        <w:t xml:space="preserve"> pro děti nebo žáky s jiným než těžkým zdravotním postižením, </w:t>
      </w:r>
    </w:p>
    <w:p w14:paraId="0F11314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19D46E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1 dítě, žák nebo student, jemuž informační, diagnostickou, poradenskou a metodickou činnost, odborné speciálně pedagogické a pedagogicko-psychologické služby, preventivně výchovnou péči nebo pomoc při volbě vhodného vzdělávání a přípravě na budoucí povolání v předchozím školním roce zajišťovala </w:t>
      </w:r>
    </w:p>
    <w:p w14:paraId="29B66716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pedagogicko-psychologická poradna, </w:t>
      </w:r>
    </w:p>
    <w:p w14:paraId="559D75E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speciálně pedagogické centrum, </w:t>
      </w:r>
    </w:p>
    <w:p w14:paraId="14C21B7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5A5065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i) 1 dítě v ambulantní formě služeb ve středisku výchovné péče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, </w:t>
      </w:r>
    </w:p>
    <w:p w14:paraId="56F1FEF7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CCF3A33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j) 1 výchovná skupina ve středisku výchovné péče</w:t>
      </w:r>
      <w:r>
        <w:rPr>
          <w:rFonts w:ascii="Arial" w:hAnsi="Arial" w:cs="Arial"/>
          <w:sz w:val="16"/>
          <w:szCs w:val="16"/>
          <w:vertAlign w:val="superscript"/>
        </w:rPr>
        <w:t xml:space="preserve">1) </w:t>
      </w:r>
    </w:p>
    <w:p w14:paraId="54F882A7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 celodenní formě služeb, </w:t>
      </w:r>
    </w:p>
    <w:p w14:paraId="5CB92F7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 internátní formě služeb, </w:t>
      </w:r>
    </w:p>
    <w:p w14:paraId="475F9AB0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9BE2855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1 rodinná skupina </w:t>
      </w:r>
    </w:p>
    <w:p w14:paraId="4F1E08E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1. v dětském domově, </w:t>
      </w:r>
    </w:p>
    <w:p w14:paraId="4E48D026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 dětském domově se školou, </w:t>
      </w:r>
    </w:p>
    <w:p w14:paraId="5A66252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BAC6A3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l) 1 výchovná skupina </w:t>
      </w:r>
    </w:p>
    <w:p w14:paraId="40729A8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ve výchovném ústavu, </w:t>
      </w:r>
    </w:p>
    <w:p w14:paraId="079F779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 diagnostickém ústavu, </w:t>
      </w:r>
    </w:p>
    <w:p w14:paraId="0BBB1B45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411E9E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m) 1 žák v oboru vzdělání ve střední škole v denní formě vzdělávání, kterému praktické vyučování zajišťuje středisko praktického vyučování. </w:t>
      </w:r>
    </w:p>
    <w:p w14:paraId="5E461EF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31F262D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 </w:t>
      </w:r>
    </w:p>
    <w:p w14:paraId="1D085F85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5453C9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Ukazatele rozhodné pro stanovení krajských normativů </w:t>
      </w:r>
    </w:p>
    <w:p w14:paraId="2C33684B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B34D87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Pro stanovení krajských normativů na jednotky výkonu podle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 písm. a) až c)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písm. f) až m)</w:t>
        </w:r>
      </w:hyperlink>
      <w:r>
        <w:rPr>
          <w:rFonts w:ascii="Arial" w:hAnsi="Arial" w:cs="Arial"/>
          <w:sz w:val="16"/>
          <w:szCs w:val="16"/>
        </w:rPr>
        <w:t xml:space="preserve"> je rozhodný ukazatel: </w:t>
      </w:r>
    </w:p>
    <w:p w14:paraId="45622C0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2408CC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průměrného počtu jednotek výkonu připadajícího na 1 pedagogického pracovníka (</w:t>
      </w:r>
      <w:proofErr w:type="spellStart"/>
      <w:r>
        <w:rPr>
          <w:rFonts w:ascii="Arial" w:hAnsi="Arial" w:cs="Arial"/>
          <w:sz w:val="16"/>
          <w:szCs w:val="16"/>
        </w:rPr>
        <w:t>Np</w:t>
      </w:r>
      <w:proofErr w:type="spellEnd"/>
      <w:r>
        <w:rPr>
          <w:rFonts w:ascii="Arial" w:hAnsi="Arial" w:cs="Arial"/>
          <w:sz w:val="16"/>
          <w:szCs w:val="16"/>
        </w:rPr>
        <w:t xml:space="preserve">), </w:t>
      </w:r>
    </w:p>
    <w:p w14:paraId="6165352F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2B6413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průměrného počtu jednotek výkonu připadajícího na 1 nepedagogického pracovníka (No), </w:t>
      </w:r>
    </w:p>
    <w:p w14:paraId="24EFA49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88AA3CF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průměrné měsíční výše platu pedagogického pracovníka (Pp), </w:t>
      </w:r>
    </w:p>
    <w:p w14:paraId="19BAE9F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2AF1B5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průměrné měsíční výše platu nepedagogického pracovníka (Po), </w:t>
      </w:r>
    </w:p>
    <w:p w14:paraId="02B90505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02429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průměrné roční výše ostatních neinvestičních výdajů ze státního rozpočtu připadající na jednotku výkonu (ONIV). </w:t>
      </w:r>
    </w:p>
    <w:p w14:paraId="64C0A5E5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DA91E47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Pro stanovení krajských normativů na jednotky výkonu podle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 písm. d)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e)</w:t>
        </w:r>
      </w:hyperlink>
      <w:r>
        <w:rPr>
          <w:rFonts w:ascii="Arial" w:hAnsi="Arial" w:cs="Arial"/>
          <w:sz w:val="16"/>
          <w:szCs w:val="16"/>
        </w:rPr>
        <w:t xml:space="preserve"> je rozhodný ukazatel: </w:t>
      </w:r>
    </w:p>
    <w:p w14:paraId="6BFB6CB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785DFE0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průměrného počtu jednotek výkonu připadajícího na 1 nepedagogického pracovníka (No), </w:t>
      </w:r>
    </w:p>
    <w:p w14:paraId="55EA6DE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D87862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průměrné měsíční výše platu nepedagogického pracovníka (Po), </w:t>
      </w:r>
    </w:p>
    <w:p w14:paraId="7333097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80019D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průměrné roční výše ostatních neinvestičních výdajů ze státního rozpočtu připadající na jednotku výkonu (ONIV). </w:t>
      </w:r>
    </w:p>
    <w:p w14:paraId="06ED0D2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F1D564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Ukazatel průměrného počtu jednotek výkonu připadajícího na 1 pedagogického pracovníka se stanoví </w:t>
      </w:r>
    </w:p>
    <w:p w14:paraId="33847B00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C6F7D3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z průměrných hodnot dosažených v průběhu uplynulého kalendářního roku nebo, nejsou-li tyto hodnoty vypovídající, z hodnot stanovených krajským úřadem v uplynulém kalendářním roce v kurzu pro získání základního vzdělání nebo v příslušném typu školského zařízení v rámci kraje, </w:t>
      </w:r>
    </w:p>
    <w:p w14:paraId="5C23E5D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8349BB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pokud se jedná o ubytovaného v domově mládeže, jako funkční závislost nebo soubor nejvýše 6 na sebe spojitě navazujících funkčních závislostí na počtu ubytovaných, </w:t>
      </w:r>
    </w:p>
    <w:p w14:paraId="4546303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0B58AE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pokud se jedná o dítě, žáka nebo studenta ve středisku volného času jako funkční závislost nebo soubor nejvýše 6 na sebe spojitě navazujících funkčních závislostí na počtu dětí, žáků nebo studentů, </w:t>
      </w:r>
    </w:p>
    <w:p w14:paraId="3F9F55C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EA994A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pokud se jedná o žáka ve školním klubu jako funkční závislost nebo soubor nejvýše 6 na sebe spojitě navazujících funkčních závislostí na počtu žáků. </w:t>
      </w:r>
    </w:p>
    <w:p w14:paraId="2AB94FDF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239D92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Ukazatel průměrného počtu jednotek výkonu připadajícího na 1 nepedagogického pracovníka se stanoví z průměrných hodnot dosažených v průběhu uplynulého kalendářního roku nebo, nejsou-li tyto hodnoty vypovídající, z hodnot stanovených krajským úřadem v uplynulém kalendářním roce v kurzu pro získání základního vzdělání nebo v příslušném typu školského zařízení v rámci kraje. Pokud se jedná o stravovaného, stanoví se ukazatel podle věty první jako funkční závislost nebo soubor nejvýše 6 na sebe spojitě navazujících funkčních závislostí na počtu jednotek výkonu ve školském zařízení členěný podle počtů stravovaných. Hodnotu ukazatele stanovenou podle tohoto odstavce lze dále snížit, nejvýše však o 5 %. </w:t>
      </w:r>
    </w:p>
    <w:p w14:paraId="204BACE5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23481D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Ukazatel průměrné měsíční výše platu pedagogického pracovníka a ukazatel průměrné měsíční výše platu nepedagogického pracovníka je tvořen průměrnou měsíční výší složek platu</w:t>
      </w: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dosaženou v příslušném druhu školy, která realizuje kurz pro získání základního vzdělání, nebo v příslušném typu školského zařízení v rámci kraje v průběhu uplynulého kalendářního roku upravenou na výši, která se v příslušném kalendářním roce předpokládá vzhledem k objemu finančních prostředků přidělených krajskému úřadu prostřednictvím republikových normativů v členění na pedagogické a nepedagogické pracovníky. Součty osobních příplatků a odměn v takto upravených ukazatelích průměrné měsíční výše platu pedagogického pracovníka se mezi jednotlivými druhy škol a typy školských zařízení nesmí lišit o více než 50 % z nejvyššího součtu osobních příplatků a odměn. Do ukazatelů průměrné měsíční výše platu se nezahrnují platby za práci přesčas a za konání přímé vyučovací, přímé výchovné, přímé speciálně pedagogické nebo pedagogicko-psychologické činnosti nad stanovený rozsah</w:t>
      </w: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0366EFB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F077063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Ukazatel průměrné roční výše ostatních neinvestičních výdajů ze státního rozpočtu připadající na jednotku výkonu se stanoví ve výši alespoň 65 % průměrných hodnot dosažených v průběhu uplynulého kalendářního roku nebo, nejsou-li tyto hodnoty vypovídající, z hodnot stanovených krajským úřadem v uplynulém kalendářním roce v kurzu pro získání základního vzdělání nebo v příslušném typu školského zařízení v rámci kraje. </w:t>
      </w:r>
    </w:p>
    <w:p w14:paraId="7B6F5A2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9E39D3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Členění krajských normativů a vztah mezi ukazateli a jednotkami výkonu </w:t>
      </w:r>
    </w:p>
    <w:p w14:paraId="2C12D5E5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9A46B5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3 </w:t>
      </w:r>
    </w:p>
    <w:p w14:paraId="63B798F6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5740ED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Na každou jednotku výkonu podle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</w:t>
        </w:r>
      </w:hyperlink>
      <w:r>
        <w:rPr>
          <w:rFonts w:ascii="Arial" w:hAnsi="Arial" w:cs="Arial"/>
          <w:sz w:val="16"/>
          <w:szCs w:val="16"/>
        </w:rPr>
        <w:t xml:space="preserve">, pokud je u škol a školských zařízení v rámci kraje v daném kalendářním roce </w:t>
      </w:r>
      <w:r>
        <w:rPr>
          <w:rFonts w:ascii="Arial" w:hAnsi="Arial" w:cs="Arial"/>
          <w:sz w:val="16"/>
          <w:szCs w:val="16"/>
        </w:rPr>
        <w:lastRenderedPageBreak/>
        <w:t xml:space="preserve">realizována, se stanoví 1 krajský normativ. </w:t>
      </w:r>
    </w:p>
    <w:p w14:paraId="20699F5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130C5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4 </w:t>
      </w:r>
    </w:p>
    <w:p w14:paraId="68CD8533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F7BF1AF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Krajský normativ se z ukazatelů uvedených v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2 odst.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</w:t>
        </w:r>
      </w:hyperlink>
      <w:r>
        <w:rPr>
          <w:rFonts w:ascii="Arial" w:hAnsi="Arial" w:cs="Arial"/>
          <w:sz w:val="16"/>
          <w:szCs w:val="16"/>
        </w:rPr>
        <w:t xml:space="preserve"> stanoví vztahem </w:t>
      </w:r>
    </w:p>
    <w:p w14:paraId="40F39F97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D3E359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u kurzu pro získání základního vzdělání a u školských zařízení, s výjimkou zařízení školního stravování, školní družiny a táboru u středisek volného času: </w:t>
      </w:r>
    </w:p>
    <w:p w14:paraId="369B354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1/</w:t>
      </w:r>
      <w:proofErr w:type="spellStart"/>
      <w:r>
        <w:rPr>
          <w:rFonts w:ascii="Arial" w:hAnsi="Arial" w:cs="Arial"/>
          <w:sz w:val="16"/>
          <w:szCs w:val="16"/>
        </w:rPr>
        <w:t>Np</w:t>
      </w:r>
      <w:proofErr w:type="spellEnd"/>
      <w:r>
        <w:rPr>
          <w:rFonts w:ascii="Arial" w:hAnsi="Arial" w:cs="Arial"/>
          <w:sz w:val="16"/>
          <w:szCs w:val="16"/>
        </w:rPr>
        <w:t xml:space="preserve"> x Pp x 12 x </w:t>
      </w:r>
      <w:proofErr w:type="gramStart"/>
      <w:r>
        <w:rPr>
          <w:rFonts w:ascii="Arial" w:hAnsi="Arial" w:cs="Arial"/>
          <w:sz w:val="16"/>
          <w:szCs w:val="16"/>
        </w:rPr>
        <w:t>1,Proc</w:t>
      </w:r>
      <w:proofErr w:type="gramEnd"/>
      <w:r>
        <w:rPr>
          <w:rFonts w:ascii="Arial" w:hAnsi="Arial" w:cs="Arial"/>
          <w:sz w:val="16"/>
          <w:szCs w:val="16"/>
        </w:rPr>
        <w:t xml:space="preserve"> + 1/No x Po x 12 x 1,Proc + ONIV, </w:t>
      </w:r>
    </w:p>
    <w:p w14:paraId="7B58BB70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61BAA2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u zařízení školního stravování a u školní družiny: </w:t>
      </w:r>
    </w:p>
    <w:p w14:paraId="3E5C6F2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1/No x Po x 12 x </w:t>
      </w:r>
      <w:proofErr w:type="gramStart"/>
      <w:r>
        <w:rPr>
          <w:rFonts w:ascii="Arial" w:hAnsi="Arial" w:cs="Arial"/>
          <w:sz w:val="16"/>
          <w:szCs w:val="16"/>
        </w:rPr>
        <w:t>1,Proc</w:t>
      </w:r>
      <w:proofErr w:type="gramEnd"/>
      <w:r>
        <w:rPr>
          <w:rFonts w:ascii="Arial" w:hAnsi="Arial" w:cs="Arial"/>
          <w:sz w:val="16"/>
          <w:szCs w:val="16"/>
        </w:rPr>
        <w:t xml:space="preserve"> + ONIV, </w:t>
      </w:r>
    </w:p>
    <w:p w14:paraId="7B2190E5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kde </w:t>
      </w:r>
      <w:proofErr w:type="spellStart"/>
      <w:r>
        <w:rPr>
          <w:rFonts w:ascii="Arial" w:hAnsi="Arial" w:cs="Arial"/>
          <w:sz w:val="16"/>
          <w:szCs w:val="16"/>
        </w:rPr>
        <w:t>Proc</w:t>
      </w:r>
      <w:proofErr w:type="spellEnd"/>
      <w:r>
        <w:rPr>
          <w:rFonts w:ascii="Arial" w:hAnsi="Arial" w:cs="Arial"/>
          <w:sz w:val="16"/>
          <w:szCs w:val="16"/>
        </w:rPr>
        <w:t xml:space="preserve"> je součtem procent sazby pojistného na sociální zabezpečení a příspěvku na státní politiku zaměstnanosti, jehož poplatníkem je zaměstnavatel podle zákona upravujícího pojistné na sociální zabezpečení a příspěvek na státní politiku zaměstnanosti</w:t>
      </w:r>
      <w:r>
        <w:rPr>
          <w:rFonts w:ascii="Arial" w:hAnsi="Arial" w:cs="Arial"/>
          <w:sz w:val="16"/>
          <w:szCs w:val="16"/>
          <w:vertAlign w:val="superscript"/>
        </w:rPr>
        <w:t>4)</w:t>
      </w:r>
      <w:r>
        <w:rPr>
          <w:rFonts w:ascii="Arial" w:hAnsi="Arial" w:cs="Arial"/>
          <w:sz w:val="16"/>
          <w:szCs w:val="16"/>
        </w:rPr>
        <w:t>, procent sazby pojistného na veřejné zdravotní pojištění, které platí zaměstnavatel za své zaměstnance podle zákona upravujícího pojistné na veřejné zdravotní pojištění</w:t>
      </w:r>
      <w:r>
        <w:rPr>
          <w:rFonts w:ascii="Arial" w:hAnsi="Arial" w:cs="Arial"/>
          <w:sz w:val="16"/>
          <w:szCs w:val="16"/>
          <w:vertAlign w:val="superscript"/>
        </w:rPr>
        <w:t>5)</w:t>
      </w:r>
      <w:r>
        <w:rPr>
          <w:rFonts w:ascii="Arial" w:hAnsi="Arial" w:cs="Arial"/>
          <w:sz w:val="16"/>
          <w:szCs w:val="16"/>
        </w:rPr>
        <w:t>, a procent, v jejichž výši se stanoví základní příděl, kterým je tvořen fond kulturních a sociálních potřeb podle vyhlášky upravující fond kulturních a sociálních potřeb</w:t>
      </w:r>
      <w:r>
        <w:rPr>
          <w:rFonts w:ascii="Arial" w:hAnsi="Arial" w:cs="Arial"/>
          <w:sz w:val="16"/>
          <w:szCs w:val="16"/>
          <w:vertAlign w:val="superscript"/>
        </w:rPr>
        <w:t>6)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51C09DF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5783763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Ke krajskému normativu stanovenému pro jednotku výkonu podle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 písm. h) bodu 2</w:t>
        </w:r>
      </w:hyperlink>
      <w:r>
        <w:rPr>
          <w:rFonts w:ascii="Arial" w:hAnsi="Arial" w:cs="Arial"/>
          <w:sz w:val="16"/>
          <w:szCs w:val="16"/>
        </w:rPr>
        <w:t xml:space="preserve"> lze stanovit opravné koeficienty zohledňující náročnost poradenských služeb poskytovaných speciálně pedagogickým centrem podle druhu znevýhodnění. </w:t>
      </w:r>
    </w:p>
    <w:p w14:paraId="4FF1AF13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5D64B2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Ke krajským normativům stanoveným pro jednotky výkonu podle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 písm. k) bodů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</w:t>
        </w:r>
      </w:hyperlink>
      <w:r>
        <w:rPr>
          <w:rFonts w:ascii="Arial" w:hAnsi="Arial" w:cs="Arial"/>
          <w:sz w:val="16"/>
          <w:szCs w:val="16"/>
        </w:rPr>
        <w:t xml:space="preserve"> lze stanovit opravné koeficienty zohledňující počty rodinných skupin v dětském domově nebo v dětském domově se školou. </w:t>
      </w:r>
    </w:p>
    <w:p w14:paraId="090D5263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F1E5D2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Ke krajskému normativu stanovenému podle odstavce 1 písm. a) lze stanovit opravné koeficienty, kterými se krajský normativ vynásobí v případě škol a školských zařízení, kde je průměrný platový stupeň pedagogických pracovníků vyšší nebo nižší než krajský průměr promítnutý v ukazateli průměrné měsíční výše platu pedagogického pracovníka. Takto stanovené koeficienty nesmí být nižší než 0,9 ani vyšší než 1,1. </w:t>
      </w:r>
    </w:p>
    <w:p w14:paraId="2AE996E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E4F436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Krajský normativ pro jednotku výkonu podle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 písm. e)</w:t>
        </w:r>
      </w:hyperlink>
      <w:r>
        <w:rPr>
          <w:rFonts w:ascii="Arial" w:hAnsi="Arial" w:cs="Arial"/>
          <w:sz w:val="16"/>
          <w:szCs w:val="16"/>
        </w:rPr>
        <w:t xml:space="preserve"> lze vynásobit opravným koeficientem stanoveným jako podíl průměrného počtu uvařených jídel za jeden pracovní den v měsíci říjnu probíhajícího školního roku a celkového počtu zapsaných ke stravování v probíhajícím školním roce. </w:t>
      </w:r>
    </w:p>
    <w:p w14:paraId="21D8DF2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7F642ED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Krajský normativ pro jednotku výkonu podle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 písm. b) bodu 3</w:t>
        </w:r>
      </w:hyperlink>
      <w:r>
        <w:rPr>
          <w:rFonts w:ascii="Arial" w:hAnsi="Arial" w:cs="Arial"/>
          <w:sz w:val="16"/>
          <w:szCs w:val="16"/>
        </w:rPr>
        <w:t xml:space="preserve"> se stanoví z krajského normativu pro jednotku výkonu podle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 písm. b) bodu 2</w:t>
        </w:r>
      </w:hyperlink>
      <w:r>
        <w:rPr>
          <w:rFonts w:ascii="Arial" w:hAnsi="Arial" w:cs="Arial"/>
          <w:sz w:val="16"/>
          <w:szCs w:val="16"/>
        </w:rPr>
        <w:t xml:space="preserve"> opravným koeficientem, který nesmí být vyšší než 0,25. </w:t>
      </w:r>
    </w:p>
    <w:p w14:paraId="5D722A7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FD3925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 </w:t>
      </w:r>
    </w:p>
    <w:p w14:paraId="72A2B4AD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FA485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Úprava ukazatelů pro výpočet minimální úrovně krajských normativů </w:t>
      </w:r>
    </w:p>
    <w:p w14:paraId="2AB6C079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002ADA3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Krajský úřad může zvýšit ukazatele </w:t>
      </w:r>
      <w:proofErr w:type="spellStart"/>
      <w:r>
        <w:rPr>
          <w:rFonts w:ascii="Arial" w:hAnsi="Arial" w:cs="Arial"/>
          <w:sz w:val="16"/>
          <w:szCs w:val="16"/>
        </w:rPr>
        <w:t>Np</w:t>
      </w:r>
      <w:proofErr w:type="spellEnd"/>
      <w:r>
        <w:rPr>
          <w:rFonts w:ascii="Arial" w:hAnsi="Arial" w:cs="Arial"/>
          <w:sz w:val="16"/>
          <w:szCs w:val="16"/>
        </w:rPr>
        <w:t xml:space="preserve"> a No stanovené podle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2 odst. 3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</w:t>
        </w:r>
      </w:hyperlink>
      <w:r>
        <w:rPr>
          <w:rFonts w:ascii="Arial" w:hAnsi="Arial" w:cs="Arial"/>
          <w:sz w:val="16"/>
          <w:szCs w:val="16"/>
        </w:rPr>
        <w:t xml:space="preserve"> až o 10 %. </w:t>
      </w:r>
    </w:p>
    <w:p w14:paraId="41CC0B3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BD76EB6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 </w:t>
      </w:r>
    </w:p>
    <w:p w14:paraId="22BF1044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6DFB38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Zásady pro zvýšení krajských normativů </w:t>
      </w:r>
    </w:p>
    <w:p w14:paraId="1EF63B8D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75741F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Krajský úřad může provést zvýšení krajského normativu nad rámec vyplývající z hodnot ukazatelů uvedených v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2</w:t>
        </w:r>
      </w:hyperlink>
      <w:r>
        <w:rPr>
          <w:rFonts w:ascii="Arial" w:hAnsi="Arial" w:cs="Arial"/>
          <w:sz w:val="16"/>
          <w:szCs w:val="16"/>
        </w:rPr>
        <w:t xml:space="preserve">, pokud je toto zvýšení zabezpečeno v celkovém objemu finančních prostředků přidělených kraji prostřednictvím republikových normativů. </w:t>
      </w:r>
    </w:p>
    <w:p w14:paraId="198ADEAD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F8D57E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7 </w:t>
      </w:r>
    </w:p>
    <w:p w14:paraId="6C73316E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A3C3F6D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Zásady pro zveřejnění krajských normativů </w:t>
      </w:r>
    </w:p>
    <w:p w14:paraId="1459F2D2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9C51AEF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Krajský úřad zveřejní stanovené krajské normativy, ukazatele rozhodné pro jejich stanovení a koeficienty podle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4 odst. 2 až 4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</w:t>
        </w:r>
      </w:hyperlink>
      <w:r>
        <w:rPr>
          <w:rFonts w:ascii="Arial" w:hAnsi="Arial" w:cs="Arial"/>
          <w:sz w:val="16"/>
          <w:szCs w:val="16"/>
        </w:rPr>
        <w:t xml:space="preserve"> způsobem umožňujícím dálkový přístup nejpozději 30 pracovních dnů po obdržení rozpisu rozpočtu z Ministerstva školství, mládeže a tělovýchovy. </w:t>
      </w:r>
    </w:p>
    <w:p w14:paraId="79A728F3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CDAE23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V případě školní </w:t>
      </w:r>
      <w:proofErr w:type="gramStart"/>
      <w:r>
        <w:rPr>
          <w:rFonts w:ascii="Arial" w:hAnsi="Arial" w:cs="Arial"/>
          <w:sz w:val="16"/>
          <w:szCs w:val="16"/>
        </w:rPr>
        <w:t>jídelny - vývařovny</w:t>
      </w:r>
      <w:proofErr w:type="gramEnd"/>
      <w:r>
        <w:rPr>
          <w:rFonts w:ascii="Arial" w:hAnsi="Arial" w:cs="Arial"/>
          <w:sz w:val="16"/>
          <w:szCs w:val="16"/>
        </w:rPr>
        <w:t xml:space="preserve"> a školní jídelny - výdejny lze v souladu s odstavcem 1 zveřejnit krajský normativ v podobě násobku krajského normativu stanoveného pro odpovídající jednotku výkonu ve školní jídelně. </w:t>
      </w:r>
    </w:p>
    <w:p w14:paraId="1425669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9DCBBE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Při zveřejnění krajského normativu se zvlášť uvede výše mzdových prostředků připadající na jednotku výkonu v členění na pedagogické a nepedagogické pracovníky. </w:t>
      </w:r>
    </w:p>
    <w:p w14:paraId="2421E7C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3C5D386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8 </w:t>
      </w:r>
    </w:p>
    <w:p w14:paraId="17509CCA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A9BB47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Společná ustanovení </w:t>
      </w:r>
    </w:p>
    <w:p w14:paraId="126642B2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81972DD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Školami a školskými zařízeními v rámci kraje se pro účely této vyhlášky rozumí školy a školská zařízení zapsané ve školském rejstříku zřizované obcemi nebo svazky obcí na území příslušného kraje nebo příslušným krajem. </w:t>
      </w:r>
    </w:p>
    <w:p w14:paraId="03587E1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4E9670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Pro účely této vyhlášky se nepedagogickými pracovníky rozumí zaměstnanci právnických osob vykonávajících činnost škol a školských zařízení, kteří nejsou pedagogickými pracovníky</w:t>
      </w:r>
      <w:r>
        <w:rPr>
          <w:rFonts w:ascii="Arial" w:hAnsi="Arial" w:cs="Arial"/>
          <w:sz w:val="16"/>
          <w:szCs w:val="16"/>
          <w:vertAlign w:val="superscript"/>
        </w:rPr>
        <w:t>7)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39238138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221020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Na financování zařízení školního stravování se neuplatní jednotka výkonu podle </w:t>
      </w:r>
      <w:hyperlink r:id="rId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 písm. e)</w:t>
        </w:r>
      </w:hyperlink>
      <w:r>
        <w:rPr>
          <w:rFonts w:ascii="Arial" w:hAnsi="Arial" w:cs="Arial"/>
          <w:sz w:val="16"/>
          <w:szCs w:val="16"/>
        </w:rPr>
        <w:t xml:space="preserve"> v případě dětí </w:t>
      </w:r>
      <w:r>
        <w:rPr>
          <w:rFonts w:ascii="Arial" w:hAnsi="Arial" w:cs="Arial"/>
          <w:sz w:val="16"/>
          <w:szCs w:val="16"/>
        </w:rPr>
        <w:lastRenderedPageBreak/>
        <w:t xml:space="preserve">umístěných v diagnostickém ústavu, výchovném ústavu, dětském domově se školou nebo dětském domově, jehož činnost vykonává právnická osoba, která zároveň vykonává činnost tohoto zařízení školního stravování. </w:t>
      </w:r>
    </w:p>
    <w:p w14:paraId="6756D733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98A9C8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V případě diagnostického ústavu, výchovného ústavu, dětského domova se školou nebo dětského domova podle odstavce 3 se při stanovení krajského normativu pro jednotku výkonu stanoví ukazatel průměrného počtu jednotek výkonu připadajícího na 1 nepedagogického pracovníka, ukazatel průměrné výše platu nepedagogického pracovníka a ukazatel průměrné výše ostatních neinvestičních výdajů ze státního rozpočtu připadající na jednotku výkonu z příslušných průměrných hodnot dosažených v průběhu příslušného kalendářního roku ve školských zařízeních uvedených v odstavci 3, jejichž činnost vykonává táž právnická osoba. </w:t>
      </w:r>
    </w:p>
    <w:p w14:paraId="25A33764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190BD17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 </w:t>
      </w:r>
    </w:p>
    <w:p w14:paraId="28B2D2F4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F53ABF0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Zrušovací ustanovení </w:t>
      </w:r>
    </w:p>
    <w:p w14:paraId="77F7FE99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FEF2518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Zrušují se: </w:t>
      </w:r>
    </w:p>
    <w:p w14:paraId="146F111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3F0681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Vyhláška č. </w:t>
      </w:r>
      <w:hyperlink r:id="rId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492/2005 Sb.</w:t>
        </w:r>
      </w:hyperlink>
      <w:r>
        <w:rPr>
          <w:rFonts w:ascii="Arial" w:hAnsi="Arial" w:cs="Arial"/>
          <w:sz w:val="16"/>
          <w:szCs w:val="16"/>
        </w:rPr>
        <w:t xml:space="preserve">, o krajských normativech. </w:t>
      </w:r>
    </w:p>
    <w:p w14:paraId="38D5288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4814A90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Vyhláška č. </w:t>
      </w:r>
      <w:hyperlink r:id="rId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47/2008 Sb.</w:t>
        </w:r>
      </w:hyperlink>
      <w:r>
        <w:rPr>
          <w:rFonts w:ascii="Arial" w:hAnsi="Arial" w:cs="Arial"/>
          <w:sz w:val="16"/>
          <w:szCs w:val="16"/>
        </w:rPr>
        <w:t xml:space="preserve">, kterou se mění vyhláška č. </w:t>
      </w:r>
      <w:hyperlink r:id="rId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492/2005 Sb.</w:t>
        </w:r>
      </w:hyperlink>
      <w:r>
        <w:rPr>
          <w:rFonts w:ascii="Arial" w:hAnsi="Arial" w:cs="Arial"/>
          <w:sz w:val="16"/>
          <w:szCs w:val="16"/>
        </w:rPr>
        <w:t xml:space="preserve">, o krajských normativech. </w:t>
      </w:r>
    </w:p>
    <w:p w14:paraId="4F166FFF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AD362E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Vyhláška č. </w:t>
      </w:r>
      <w:hyperlink r:id="rId3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33/2009 Sb.</w:t>
        </w:r>
      </w:hyperlink>
      <w:r>
        <w:rPr>
          <w:rFonts w:ascii="Arial" w:hAnsi="Arial" w:cs="Arial"/>
          <w:sz w:val="16"/>
          <w:szCs w:val="16"/>
        </w:rPr>
        <w:t xml:space="preserve">, kterou se mění vyhláška č. </w:t>
      </w:r>
      <w:hyperlink r:id="rId3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492/2005 Sb.</w:t>
        </w:r>
      </w:hyperlink>
      <w:r>
        <w:rPr>
          <w:rFonts w:ascii="Arial" w:hAnsi="Arial" w:cs="Arial"/>
          <w:sz w:val="16"/>
          <w:szCs w:val="16"/>
        </w:rPr>
        <w:t xml:space="preserve">, o krajských normativech, ve znění vyhlášky č. </w:t>
      </w:r>
      <w:hyperlink r:id="rId3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47/2008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0A851208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E116A8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Vyhláška č. </w:t>
      </w:r>
      <w:hyperlink r:id="rId3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8/2010 Sb.</w:t>
        </w:r>
      </w:hyperlink>
      <w:r>
        <w:rPr>
          <w:rFonts w:ascii="Arial" w:hAnsi="Arial" w:cs="Arial"/>
          <w:sz w:val="16"/>
          <w:szCs w:val="16"/>
        </w:rPr>
        <w:t xml:space="preserve">, kterou se mění vyhláška č. </w:t>
      </w:r>
      <w:hyperlink r:id="rId3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492/2005 Sb.</w:t>
        </w:r>
      </w:hyperlink>
      <w:r>
        <w:rPr>
          <w:rFonts w:ascii="Arial" w:hAnsi="Arial" w:cs="Arial"/>
          <w:sz w:val="16"/>
          <w:szCs w:val="16"/>
        </w:rPr>
        <w:t xml:space="preserve">, o krajských normativech, ve znění pozdějších předpisů. </w:t>
      </w:r>
    </w:p>
    <w:p w14:paraId="6D30FB5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B27E05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Vyhláška č. </w:t>
      </w:r>
      <w:hyperlink r:id="rId3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11/2011 Sb.</w:t>
        </w:r>
      </w:hyperlink>
      <w:r>
        <w:rPr>
          <w:rFonts w:ascii="Arial" w:hAnsi="Arial" w:cs="Arial"/>
          <w:sz w:val="16"/>
          <w:szCs w:val="16"/>
        </w:rPr>
        <w:t xml:space="preserve">, kterou se mění vyhláška č. </w:t>
      </w:r>
      <w:hyperlink r:id="rId4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492/2005 Sb.</w:t>
        </w:r>
      </w:hyperlink>
      <w:r>
        <w:rPr>
          <w:rFonts w:ascii="Arial" w:hAnsi="Arial" w:cs="Arial"/>
          <w:sz w:val="16"/>
          <w:szCs w:val="16"/>
        </w:rPr>
        <w:t xml:space="preserve">, o krajských normativech, ve znění pozdějších předpisů. </w:t>
      </w:r>
    </w:p>
    <w:p w14:paraId="13D68DC7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909BDC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Vyhláška č. </w:t>
      </w:r>
      <w:hyperlink r:id="rId4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110/2011 Sb.</w:t>
        </w:r>
      </w:hyperlink>
      <w:r>
        <w:rPr>
          <w:rFonts w:ascii="Arial" w:hAnsi="Arial" w:cs="Arial"/>
          <w:sz w:val="16"/>
          <w:szCs w:val="16"/>
        </w:rPr>
        <w:t xml:space="preserve">, kterou se mění vyhláška č. </w:t>
      </w:r>
      <w:hyperlink r:id="rId4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492/2005 Sb.</w:t>
        </w:r>
      </w:hyperlink>
      <w:r>
        <w:rPr>
          <w:rFonts w:ascii="Arial" w:hAnsi="Arial" w:cs="Arial"/>
          <w:sz w:val="16"/>
          <w:szCs w:val="16"/>
        </w:rPr>
        <w:t xml:space="preserve">, o krajských normativech, ve znění pozdějších předpisů. </w:t>
      </w:r>
    </w:p>
    <w:p w14:paraId="75C2FEE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4BA65F8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Část osmá vyhlášky č. </w:t>
      </w:r>
      <w:hyperlink r:id="rId4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197/2016 Sb.</w:t>
        </w:r>
      </w:hyperlink>
      <w:r>
        <w:rPr>
          <w:rFonts w:ascii="Arial" w:hAnsi="Arial" w:cs="Arial"/>
          <w:sz w:val="16"/>
          <w:szCs w:val="16"/>
        </w:rPr>
        <w:t xml:space="preserve">, kterou se mění vyhláška č. </w:t>
      </w:r>
      <w:hyperlink r:id="rId4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72/2005 Sb.</w:t>
        </w:r>
      </w:hyperlink>
      <w:r>
        <w:rPr>
          <w:rFonts w:ascii="Arial" w:hAnsi="Arial" w:cs="Arial"/>
          <w:sz w:val="16"/>
          <w:szCs w:val="16"/>
        </w:rPr>
        <w:t xml:space="preserve">, o poskytování poradenských služeb ve školách a školských poradenských zařízeních, ve znění pozdějších předpisů, a některé další vyhlášky. </w:t>
      </w:r>
    </w:p>
    <w:p w14:paraId="0DE6CAD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9FF60B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8. Část druhá vyhlášky č. </w:t>
      </w:r>
      <w:hyperlink r:id="rId4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280/2016 Sb.</w:t>
        </w:r>
      </w:hyperlink>
      <w:r>
        <w:rPr>
          <w:rFonts w:ascii="Arial" w:hAnsi="Arial" w:cs="Arial"/>
          <w:sz w:val="16"/>
          <w:szCs w:val="16"/>
        </w:rPr>
        <w:t xml:space="preserve">, kterou se mění vyhláška č. </w:t>
      </w:r>
      <w:hyperlink r:id="rId4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14/2005 Sb.</w:t>
        </w:r>
      </w:hyperlink>
      <w:r>
        <w:rPr>
          <w:rFonts w:ascii="Arial" w:hAnsi="Arial" w:cs="Arial"/>
          <w:sz w:val="16"/>
          <w:szCs w:val="16"/>
        </w:rPr>
        <w:t xml:space="preserve">, o předškolním vzdělávání, ve znění pozdějších předpisů, a některé další vyhlášky. </w:t>
      </w:r>
    </w:p>
    <w:p w14:paraId="052ED79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111F77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9. Část druhá vyhlášky č. </w:t>
      </w:r>
      <w:hyperlink r:id="rId4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243/2017 Sb.</w:t>
        </w:r>
      </w:hyperlink>
      <w:r>
        <w:rPr>
          <w:rFonts w:ascii="Arial" w:hAnsi="Arial" w:cs="Arial"/>
          <w:sz w:val="16"/>
          <w:szCs w:val="16"/>
        </w:rPr>
        <w:t xml:space="preserve">, kterou se mění vyhláška č. </w:t>
      </w:r>
      <w:hyperlink r:id="rId4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48/2005 Sb.</w:t>
        </w:r>
      </w:hyperlink>
      <w:r>
        <w:rPr>
          <w:rFonts w:ascii="Arial" w:hAnsi="Arial" w:cs="Arial"/>
          <w:sz w:val="16"/>
          <w:szCs w:val="16"/>
        </w:rPr>
        <w:t xml:space="preserve">, o základním vzdělávání a některých náležitostech plnění povinné školní docházky, ve znění pozdějších předpisů, a některé další vyhlášky. </w:t>
      </w:r>
    </w:p>
    <w:p w14:paraId="594FD690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6E74B05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10 </w:t>
      </w:r>
    </w:p>
    <w:p w14:paraId="5235F08F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A5A6D7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Přechodné ustanovení </w:t>
      </w:r>
    </w:p>
    <w:p w14:paraId="7A25A3E6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10DA79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Do dne, do kterého jsou školy a školská zařízení financovány ze státního rozpočtu podle ustanovení zákona č. </w:t>
      </w:r>
      <w:hyperlink r:id="rId4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561/2004 Sb.</w:t>
        </w:r>
      </w:hyperlink>
      <w:r>
        <w:rPr>
          <w:rFonts w:ascii="Arial" w:hAnsi="Arial" w:cs="Arial"/>
          <w:sz w:val="16"/>
          <w:szCs w:val="16"/>
        </w:rPr>
        <w:t>, o předškolním, základním, středním, vyšším odborném a jiném vzdělávání (</w:t>
      </w:r>
      <w:hyperlink r:id="rId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školský zákon</w:t>
        </w:r>
      </w:hyperlink>
      <w:r>
        <w:rPr>
          <w:rFonts w:ascii="Arial" w:hAnsi="Arial" w:cs="Arial"/>
          <w:sz w:val="16"/>
          <w:szCs w:val="16"/>
        </w:rPr>
        <w:t xml:space="preserve">), ve znění účinném přede dnem nabytí účinnosti zákona č. </w:t>
      </w:r>
      <w:hyperlink r:id="rId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101/2017 Sb.</w:t>
        </w:r>
      </w:hyperlink>
      <w:r>
        <w:rPr>
          <w:rFonts w:ascii="Arial" w:hAnsi="Arial" w:cs="Arial"/>
          <w:sz w:val="16"/>
          <w:szCs w:val="16"/>
        </w:rPr>
        <w:t xml:space="preserve">, se krajské normativy řídí vyhláškou č. </w:t>
      </w:r>
      <w:hyperlink r:id="rId5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492/2005 Sb.</w:t>
        </w:r>
      </w:hyperlink>
      <w:r>
        <w:rPr>
          <w:rFonts w:ascii="Arial" w:hAnsi="Arial" w:cs="Arial"/>
          <w:sz w:val="16"/>
          <w:szCs w:val="16"/>
        </w:rPr>
        <w:t xml:space="preserve">, o krajských normativech, ve znění účinném do dne nabytí účinnosti této vyhlášky. </w:t>
      </w:r>
    </w:p>
    <w:p w14:paraId="53E226A3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5F12790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11 </w:t>
      </w:r>
    </w:p>
    <w:p w14:paraId="2F878BD1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E0B95D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Účinnost</w:t>
      </w:r>
    </w:p>
    <w:p w14:paraId="1D80F6F6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8EED57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13428B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ledna 2019. </w:t>
      </w:r>
    </w:p>
    <w:p w14:paraId="090B46CF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0A8218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Ministr školství, mládeže a tělovýchovy: </w:t>
      </w:r>
    </w:p>
    <w:p w14:paraId="1D1A3572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181194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Plaga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, Ph.D., v. r. </w:t>
      </w:r>
    </w:p>
    <w:p w14:paraId="20B286FE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BF1707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Příl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14:paraId="7874C69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zrušena</w:t>
      </w:r>
    </w:p>
    <w:p w14:paraId="32F4948F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BF400D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AD168F1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14:paraId="1EB38C71" w14:textId="77777777" w:rsidR="00E27112" w:rsidRDefault="00E27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91F88F0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9D560BC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1) Zákon č. </w:t>
      </w:r>
      <w:hyperlink r:id="rId5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109/2002 Sb.</w:t>
        </w:r>
      </w:hyperlink>
      <w:r>
        <w:rPr>
          <w:rFonts w:ascii="Arial" w:hAnsi="Arial" w:cs="Arial"/>
          <w:sz w:val="14"/>
          <w:szCs w:val="14"/>
        </w:rPr>
        <w:t xml:space="preserve">, o výkonu ústavní výchovy nebo ochranné výchovy ve školských zařízeních a o preventivně výchovné péči ve školských zařízeních a o změně dalších zákonů, ve znění pozdějších předpisů. </w:t>
      </w:r>
    </w:p>
    <w:p w14:paraId="09ED0EAD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14:paraId="6658B86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2) Zákon č. </w:t>
      </w:r>
      <w:hyperlink r:id="rId5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262/2006 Sb.</w:t>
        </w:r>
      </w:hyperlink>
      <w:r>
        <w:rPr>
          <w:rFonts w:ascii="Arial" w:hAnsi="Arial" w:cs="Arial"/>
          <w:sz w:val="14"/>
          <w:szCs w:val="14"/>
        </w:rPr>
        <w:t xml:space="preserve">, zákoník práce, ve znění pozdějších předpisů. </w:t>
      </w:r>
    </w:p>
    <w:p w14:paraId="74A7DC33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14:paraId="66B78FF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3) </w:t>
      </w:r>
      <w:hyperlink r:id="rId5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23 zákona č. 563/2004 Sb.</w:t>
        </w:r>
      </w:hyperlink>
      <w:r>
        <w:rPr>
          <w:rFonts w:ascii="Arial" w:hAnsi="Arial" w:cs="Arial"/>
          <w:sz w:val="14"/>
          <w:szCs w:val="14"/>
        </w:rPr>
        <w:t xml:space="preserve">, o pedagogických pracovnících a o změně některých zákonů, ve znění pozdějších předpisů. </w:t>
      </w:r>
    </w:p>
    <w:p w14:paraId="2B1B68FA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14:paraId="5596FBA9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4) Zákon č. </w:t>
      </w:r>
      <w:hyperlink r:id="rId5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589/1992 Sb.</w:t>
        </w:r>
      </w:hyperlink>
      <w:r>
        <w:rPr>
          <w:rFonts w:ascii="Arial" w:hAnsi="Arial" w:cs="Arial"/>
          <w:sz w:val="14"/>
          <w:szCs w:val="14"/>
        </w:rPr>
        <w:t xml:space="preserve">, o pojistném na sociální zabezpečení a příspěvku na státní politiku zaměstnanosti, ve znění pozdějších předpisů. </w:t>
      </w:r>
    </w:p>
    <w:p w14:paraId="1C416F1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14:paraId="15509AE2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5) Zákon č. </w:t>
      </w:r>
      <w:hyperlink r:id="rId5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592/1992 Sb.</w:t>
        </w:r>
      </w:hyperlink>
      <w:r>
        <w:rPr>
          <w:rFonts w:ascii="Arial" w:hAnsi="Arial" w:cs="Arial"/>
          <w:sz w:val="14"/>
          <w:szCs w:val="14"/>
        </w:rPr>
        <w:t xml:space="preserve">, o pojistném na veřejné zdravotní pojištění, ve znění pozdějších předpisů. </w:t>
      </w:r>
    </w:p>
    <w:p w14:paraId="5052806E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14:paraId="0815DBDF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6) Vyhláška č. </w:t>
      </w:r>
      <w:hyperlink r:id="rId5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114/2002 Sb.</w:t>
        </w:r>
      </w:hyperlink>
      <w:r>
        <w:rPr>
          <w:rFonts w:ascii="Arial" w:hAnsi="Arial" w:cs="Arial"/>
          <w:sz w:val="14"/>
          <w:szCs w:val="14"/>
        </w:rPr>
        <w:t xml:space="preserve">, o fondu kulturních a sociálních potřeb, ve znění pozdějších předpisů. </w:t>
      </w:r>
    </w:p>
    <w:p w14:paraId="49A0C0AB" w14:textId="77777777" w:rsidR="00E27112" w:rsidRDefault="001F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14:paraId="370C44FA" w14:textId="77777777" w:rsidR="001F3BB9" w:rsidRDefault="001F3BB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lastRenderedPageBreak/>
        <w:t xml:space="preserve">7) </w:t>
      </w:r>
      <w:hyperlink r:id="rId5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2 odst. 1 zákona č. 563/2004 Sb.</w:t>
        </w:r>
      </w:hyperlink>
      <w:r>
        <w:rPr>
          <w:rFonts w:ascii="Arial" w:hAnsi="Arial" w:cs="Arial"/>
          <w:sz w:val="14"/>
          <w:szCs w:val="14"/>
        </w:rPr>
        <w:t>, o pedagogických pracovnících a o změně některých zákonů, ve znění pozdějších předpisů.</w:t>
      </w:r>
    </w:p>
    <w:sectPr w:rsidR="001F3BB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1A"/>
    <w:rsid w:val="000D131A"/>
    <w:rsid w:val="001F3BB9"/>
    <w:rsid w:val="00E27112"/>
    <w:rsid w:val="00E5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69B37"/>
  <w14:defaultImageDpi w14:val="0"/>
  <w15:docId w15:val="{E68B8B5B-B028-427B-9415-3A8D89AF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ASPI'&amp;link='310/2018%20Sb.%25231'&amp;ucin-k-dni='30.12.9999'" TargetMode="External"/><Relationship Id="rId18" Type="http://schemas.openxmlformats.org/officeDocument/2006/relationships/hyperlink" Target="aspi://module='ASPI'&amp;link='310/2018%20Sb.%25232'&amp;ucin-k-dni='30.12.9999'" TargetMode="External"/><Relationship Id="rId26" Type="http://schemas.openxmlformats.org/officeDocument/2006/relationships/hyperlink" Target="aspi://module='ASPI'&amp;link='310/2018%20Sb.%25232'&amp;ucin-k-dni='30.12.9999'" TargetMode="External"/><Relationship Id="rId39" Type="http://schemas.openxmlformats.org/officeDocument/2006/relationships/hyperlink" Target="aspi://module='ASPI'&amp;link='11/2011%20Sb.%2523'&amp;ucin-k-dni='30.12.9999'" TargetMode="External"/><Relationship Id="rId21" Type="http://schemas.openxmlformats.org/officeDocument/2006/relationships/hyperlink" Target="aspi://module='ASPI'&amp;link='310/2018%20Sb.%25231'&amp;ucin-k-dni='30.12.9999'" TargetMode="External"/><Relationship Id="rId34" Type="http://schemas.openxmlformats.org/officeDocument/2006/relationships/hyperlink" Target="aspi://module='ASPI'&amp;link='33/2009%20Sb.%2523'&amp;ucin-k-dni='30.12.9999'" TargetMode="External"/><Relationship Id="rId42" Type="http://schemas.openxmlformats.org/officeDocument/2006/relationships/hyperlink" Target="aspi://module='ASPI'&amp;link='492/2005%20Sb.%2523'&amp;ucin-k-dni='30.12.9999'" TargetMode="External"/><Relationship Id="rId47" Type="http://schemas.openxmlformats.org/officeDocument/2006/relationships/hyperlink" Target="aspi://module='ASPI'&amp;link='243/2017%20Sb.%2523'&amp;ucin-k-dni='30.12.9999'" TargetMode="External"/><Relationship Id="rId50" Type="http://schemas.openxmlformats.org/officeDocument/2006/relationships/hyperlink" Target="aspi://module='ASPI'&amp;link='561/2004%20Sb.%2523'&amp;ucin-k-dni='30.12.9999'" TargetMode="External"/><Relationship Id="rId55" Type="http://schemas.openxmlformats.org/officeDocument/2006/relationships/hyperlink" Target="aspi://module='ASPI'&amp;link='563/2004%20Sb.%252323'&amp;ucin-k-dni='30.12.9999'" TargetMode="External"/><Relationship Id="rId7" Type="http://schemas.openxmlformats.org/officeDocument/2006/relationships/hyperlink" Target="aspi://module='ASPI'&amp;link='561/2004%20Sb.%2523170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310/2018%20Sb.%25231'&amp;ucin-k-dni='30.12.9999'" TargetMode="External"/><Relationship Id="rId29" Type="http://schemas.openxmlformats.org/officeDocument/2006/relationships/hyperlink" Target="aspi://module='ASPI'&amp;link='310/2018%20Sb.%25234'&amp;ucin-k-dni='30.12.9999'" TargetMode="External"/><Relationship Id="rId11" Type="http://schemas.openxmlformats.org/officeDocument/2006/relationships/hyperlink" Target="aspi://module='ASPI'&amp;link='561/2004%20Sb.%252316'&amp;ucin-k-dni='30.12.9999'" TargetMode="External"/><Relationship Id="rId24" Type="http://schemas.openxmlformats.org/officeDocument/2006/relationships/hyperlink" Target="aspi://module='ASPI'&amp;link='310/2018%20Sb.%25231'&amp;ucin-k-dni='30.12.9999'" TargetMode="External"/><Relationship Id="rId32" Type="http://schemas.openxmlformats.org/officeDocument/2006/relationships/hyperlink" Target="aspi://module='ASPI'&amp;link='47/2008%20Sb.%2523'&amp;ucin-k-dni='30.12.9999'" TargetMode="External"/><Relationship Id="rId37" Type="http://schemas.openxmlformats.org/officeDocument/2006/relationships/hyperlink" Target="aspi://module='ASPI'&amp;link='8/2010%20Sb.%2523'&amp;ucin-k-dni='30.12.9999'" TargetMode="External"/><Relationship Id="rId40" Type="http://schemas.openxmlformats.org/officeDocument/2006/relationships/hyperlink" Target="aspi://module='ASPI'&amp;link='492/2005%20Sb.%2523'&amp;ucin-k-dni='30.12.9999'" TargetMode="External"/><Relationship Id="rId45" Type="http://schemas.openxmlformats.org/officeDocument/2006/relationships/hyperlink" Target="aspi://module='ASPI'&amp;link='280/2016%20Sb.%2523'&amp;ucin-k-dni='30.12.9999'" TargetMode="External"/><Relationship Id="rId53" Type="http://schemas.openxmlformats.org/officeDocument/2006/relationships/hyperlink" Target="aspi://module='ASPI'&amp;link='109/2002%20Sb.%2523'&amp;ucin-k-dni='30.12.9999'" TargetMode="External"/><Relationship Id="rId58" Type="http://schemas.openxmlformats.org/officeDocument/2006/relationships/hyperlink" Target="aspi://module='ASPI'&amp;link='114/2002%20Sb.%2523'&amp;ucin-k-dni='30.12.9999'" TargetMode="External"/><Relationship Id="rId5" Type="http://schemas.openxmlformats.org/officeDocument/2006/relationships/hyperlink" Target="aspi://module='ASPI'&amp;link='111/2022%20Sb.%2523'&amp;ucin-k-dni='30.12.9999'" TargetMode="External"/><Relationship Id="rId61" Type="http://schemas.openxmlformats.org/officeDocument/2006/relationships/theme" Target="theme/theme1.xml"/><Relationship Id="rId19" Type="http://schemas.openxmlformats.org/officeDocument/2006/relationships/hyperlink" Target="aspi://module='ASPI'&amp;link='310/2018%20Sb.%25231'&amp;ucin-k-dni='30.12.9999'" TargetMode="External"/><Relationship Id="rId14" Type="http://schemas.openxmlformats.org/officeDocument/2006/relationships/hyperlink" Target="aspi://module='ASPI'&amp;link='310/2018%20Sb.%25231'&amp;ucin-k-dni='30.12.9999'" TargetMode="External"/><Relationship Id="rId22" Type="http://schemas.openxmlformats.org/officeDocument/2006/relationships/hyperlink" Target="aspi://module='ASPI'&amp;link='310/2018%20Sb.%25231'&amp;ucin-k-dni='30.12.9999'" TargetMode="External"/><Relationship Id="rId27" Type="http://schemas.openxmlformats.org/officeDocument/2006/relationships/hyperlink" Target="aspi://module='ASPI'&amp;link='310/2018%20Sb.%25232'&amp;ucin-k-dni='30.12.9999'" TargetMode="External"/><Relationship Id="rId30" Type="http://schemas.openxmlformats.org/officeDocument/2006/relationships/hyperlink" Target="aspi://module='ASPI'&amp;link='310/2018%20Sb.%25231'&amp;ucin-k-dni='30.12.9999'" TargetMode="External"/><Relationship Id="rId35" Type="http://schemas.openxmlformats.org/officeDocument/2006/relationships/hyperlink" Target="aspi://module='ASPI'&amp;link='492/2005%20Sb.%2523'&amp;ucin-k-dni='30.12.9999'" TargetMode="External"/><Relationship Id="rId43" Type="http://schemas.openxmlformats.org/officeDocument/2006/relationships/hyperlink" Target="aspi://module='ASPI'&amp;link='197/2016%20Sb.%2523'&amp;ucin-k-dni='30.12.9999'" TargetMode="External"/><Relationship Id="rId48" Type="http://schemas.openxmlformats.org/officeDocument/2006/relationships/hyperlink" Target="aspi://module='ASPI'&amp;link='48/2005%20Sb.%2523'&amp;ucin-k-dni='30.12.9999'" TargetMode="External"/><Relationship Id="rId56" Type="http://schemas.openxmlformats.org/officeDocument/2006/relationships/hyperlink" Target="aspi://module='ASPI'&amp;link='589/1992%20Sb.%2523'&amp;ucin-k-dni='30.12.9999'" TargetMode="External"/><Relationship Id="rId8" Type="http://schemas.openxmlformats.org/officeDocument/2006/relationships/hyperlink" Target="aspi://module='ASPI'&amp;link='561/2004%20Sb.%2523'&amp;ucin-k-dni='30.12.9999'" TargetMode="External"/><Relationship Id="rId51" Type="http://schemas.openxmlformats.org/officeDocument/2006/relationships/hyperlink" Target="aspi://module='ASPI'&amp;link='101/2017%20Sb.%2523'&amp;ucin-k-dni='30.12.9999'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spi://module='ASPI'&amp;link='310/2018%20Sb.%25231'&amp;ucin-k-dni='30.12.9999'" TargetMode="External"/><Relationship Id="rId17" Type="http://schemas.openxmlformats.org/officeDocument/2006/relationships/hyperlink" Target="aspi://module='ASPI'&amp;link='310/2018%20Sb.%25232'&amp;ucin-k-dni='30.12.9999'" TargetMode="External"/><Relationship Id="rId25" Type="http://schemas.openxmlformats.org/officeDocument/2006/relationships/hyperlink" Target="aspi://module='ASPI'&amp;link='310/2018%20Sb.%25232'&amp;ucin-k-dni='30.12.9999'" TargetMode="External"/><Relationship Id="rId33" Type="http://schemas.openxmlformats.org/officeDocument/2006/relationships/hyperlink" Target="aspi://module='ASPI'&amp;link='492/2005%20Sb.%2523'&amp;ucin-k-dni='30.12.9999'" TargetMode="External"/><Relationship Id="rId38" Type="http://schemas.openxmlformats.org/officeDocument/2006/relationships/hyperlink" Target="aspi://module='ASPI'&amp;link='492/2005%20Sb.%2523'&amp;ucin-k-dni='30.12.9999'" TargetMode="External"/><Relationship Id="rId46" Type="http://schemas.openxmlformats.org/officeDocument/2006/relationships/hyperlink" Target="aspi://module='ASPI'&amp;link='14/2005%20Sb.%2523'&amp;ucin-k-dni='30.12.9999'" TargetMode="External"/><Relationship Id="rId59" Type="http://schemas.openxmlformats.org/officeDocument/2006/relationships/hyperlink" Target="aspi://module='ASPI'&amp;link='563/2004%20Sb.%25232'&amp;ucin-k-dni='30.12.9999'" TargetMode="External"/><Relationship Id="rId20" Type="http://schemas.openxmlformats.org/officeDocument/2006/relationships/hyperlink" Target="aspi://module='ASPI'&amp;link='310/2018%20Sb.%25231'&amp;ucin-k-dni='30.12.9999'" TargetMode="External"/><Relationship Id="rId41" Type="http://schemas.openxmlformats.org/officeDocument/2006/relationships/hyperlink" Target="aspi://module='ASPI'&amp;link='110/2011%20Sb.%2523'&amp;ucin-k-dni='30.12.9999'" TargetMode="External"/><Relationship Id="rId54" Type="http://schemas.openxmlformats.org/officeDocument/2006/relationships/hyperlink" Target="aspi://module='ASPI'&amp;link='262/2006%20Sb.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561/2004%20Sb.%2523161c'&amp;ucin-k-dni='30.12.9999'" TargetMode="External"/><Relationship Id="rId15" Type="http://schemas.openxmlformats.org/officeDocument/2006/relationships/hyperlink" Target="aspi://module='ASPI'&amp;link='310/2018%20Sb.%25231'&amp;ucin-k-dni='30.12.9999'" TargetMode="External"/><Relationship Id="rId23" Type="http://schemas.openxmlformats.org/officeDocument/2006/relationships/hyperlink" Target="aspi://module='ASPI'&amp;link='310/2018%20Sb.%25231'&amp;ucin-k-dni='30.12.9999'" TargetMode="External"/><Relationship Id="rId28" Type="http://schemas.openxmlformats.org/officeDocument/2006/relationships/hyperlink" Target="aspi://module='ASPI'&amp;link='310/2018%20Sb.%25234'&amp;ucin-k-dni='30.12.9999'" TargetMode="External"/><Relationship Id="rId36" Type="http://schemas.openxmlformats.org/officeDocument/2006/relationships/hyperlink" Target="aspi://module='ASPI'&amp;link='47/2008%20Sb.%2523'&amp;ucin-k-dni='30.12.9999'" TargetMode="External"/><Relationship Id="rId49" Type="http://schemas.openxmlformats.org/officeDocument/2006/relationships/hyperlink" Target="aspi://module='ASPI'&amp;link='561/2004%20Sb.%2523'&amp;ucin-k-dni='30.12.9999'" TargetMode="External"/><Relationship Id="rId57" Type="http://schemas.openxmlformats.org/officeDocument/2006/relationships/hyperlink" Target="aspi://module='ASPI'&amp;link='592/1992%20Sb.%2523'&amp;ucin-k-dni='30.12.9999'" TargetMode="External"/><Relationship Id="rId10" Type="http://schemas.openxmlformats.org/officeDocument/2006/relationships/hyperlink" Target="aspi://module='ASPI'&amp;link='561/2004%20Sb.%252316'&amp;ucin-k-dni='30.12.9999'" TargetMode="External"/><Relationship Id="rId31" Type="http://schemas.openxmlformats.org/officeDocument/2006/relationships/hyperlink" Target="aspi://module='ASPI'&amp;link='492/2005%20Sb.%2523'&amp;ucin-k-dni='30.12.9999'" TargetMode="External"/><Relationship Id="rId44" Type="http://schemas.openxmlformats.org/officeDocument/2006/relationships/hyperlink" Target="aspi://module='ASPI'&amp;link='72/2005%20Sb.%2523'&amp;ucin-k-dni='30.12.9999'" TargetMode="External"/><Relationship Id="rId52" Type="http://schemas.openxmlformats.org/officeDocument/2006/relationships/hyperlink" Target="aspi://module='ASPI'&amp;link='492/2005%20Sb.%2523'&amp;ucin-k-dni='30.12.9999'" TargetMode="External"/><Relationship Id="rId60" Type="http://schemas.openxmlformats.org/officeDocument/2006/relationships/fontTable" Target="fontTable.xml"/><Relationship Id="rId4" Type="http://schemas.openxmlformats.org/officeDocument/2006/relationships/hyperlink" Target="aspi://module='ASPI'&amp;link='572/2020%20Sb.%2523'&amp;ucin-k-dni='30.12.9999'" TargetMode="External"/><Relationship Id="rId9" Type="http://schemas.openxmlformats.org/officeDocument/2006/relationships/hyperlink" Target="aspi://module='ASPI'&amp;link='101/2017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2348</Words>
  <Characters>18696</Characters>
  <Application>Microsoft Office Word</Application>
  <DocSecurity>0</DocSecurity>
  <Lines>155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Heřmanská Ludmila</dc:creator>
  <cp:keywords/>
  <dc:description/>
  <cp:lastModifiedBy>Kedra Petr</cp:lastModifiedBy>
  <cp:revision>2</cp:revision>
  <cp:lastPrinted>2024-03-14T07:35:00Z</cp:lastPrinted>
  <dcterms:created xsi:type="dcterms:W3CDTF">2024-03-14T07:37:00Z</dcterms:created>
  <dcterms:modified xsi:type="dcterms:W3CDTF">2024-03-14T07:37:00Z</dcterms:modified>
</cp:coreProperties>
</file>