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D78AB" w14:textId="746333B5" w:rsidR="008D5C85" w:rsidRPr="008D5C85" w:rsidRDefault="008D5C85" w:rsidP="008D5C85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D5C85">
        <w:rPr>
          <w:rFonts w:ascii="Arial" w:hAnsi="Arial" w:cs="Arial"/>
          <w:b/>
          <w:bCs/>
          <w:sz w:val="24"/>
          <w:szCs w:val="24"/>
          <w:u w:val="single"/>
        </w:rPr>
        <w:t>Připomínky Zlínského kraje pro akcelerační oblasti</w:t>
      </w:r>
    </w:p>
    <w:p w14:paraId="651AE9CC" w14:textId="6E3ED847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b/>
          <w:bCs/>
          <w:sz w:val="20"/>
          <w:szCs w:val="20"/>
          <w:u w:val="single"/>
        </w:rPr>
        <w:t>AOV29 Býškovice</w:t>
      </w:r>
      <w:r w:rsidRPr="008D5C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D5C85">
        <w:rPr>
          <w:rFonts w:ascii="Arial" w:hAnsi="Arial" w:cs="Arial"/>
          <w:sz w:val="20"/>
          <w:szCs w:val="20"/>
        </w:rPr>
        <w:t xml:space="preserve">(území obcí Vítonice, Osíčko, Loukov, Kelč), kde není zohledněn koridor DS112 </w:t>
      </w:r>
    </w:p>
    <w:p w14:paraId="0EF09A95" w14:textId="139F1979" w:rsidR="008D5C85" w:rsidRPr="008D5C85" w:rsidRDefault="008D5C85" w:rsidP="008D5C85">
      <w:pPr>
        <w:rPr>
          <w:rFonts w:ascii="Arial" w:hAnsi="Arial" w:cs="Arial"/>
          <w:i/>
          <w:iCs/>
          <w:sz w:val="20"/>
          <w:szCs w:val="20"/>
        </w:rPr>
      </w:pPr>
      <w:r w:rsidRPr="008D5C85">
        <w:rPr>
          <w:rFonts w:ascii="Arial" w:hAnsi="Arial" w:cs="Arial"/>
          <w:i/>
          <w:iCs/>
          <w:noProof/>
          <w:sz w:val="20"/>
          <w:szCs w:val="20"/>
        </w:rPr>
        <w:drawing>
          <wp:inline distT="0" distB="0" distL="0" distR="0" wp14:anchorId="37A32F6D" wp14:editId="346C6A1F">
            <wp:extent cx="3695700" cy="2316707"/>
            <wp:effectExtent l="0" t="0" r="0" b="7620"/>
            <wp:docPr id="373112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60" cy="231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8215B" w14:textId="457C6AC5" w:rsidR="008D5C85" w:rsidRPr="008D5C85" w:rsidRDefault="008D5C85" w:rsidP="008D5C85">
      <w:pPr>
        <w:rPr>
          <w:rFonts w:ascii="Arial" w:hAnsi="Arial" w:cs="Arial"/>
          <w:sz w:val="20"/>
          <w:szCs w:val="20"/>
          <w:u w:val="single"/>
        </w:rPr>
      </w:pPr>
      <w:r w:rsidRPr="008D5C85">
        <w:rPr>
          <w:rFonts w:ascii="Arial" w:hAnsi="Arial" w:cs="Arial"/>
          <w:i/>
          <w:iCs/>
          <w:sz w:val="20"/>
          <w:szCs w:val="20"/>
          <w:u w:val="single"/>
        </w:rPr>
        <w:t xml:space="preserve">Návrh doplnění podmínek a zmírňujících opatření pro povolení a provedení záměrů OZE: </w:t>
      </w:r>
    </w:p>
    <w:p w14:paraId="05748FA1" w14:textId="77777777" w:rsidR="008D5C85" w:rsidRPr="008D5C85" w:rsidRDefault="008D5C85" w:rsidP="008D5C8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i/>
          <w:iCs/>
          <w:sz w:val="20"/>
          <w:szCs w:val="20"/>
        </w:rPr>
        <w:t xml:space="preserve">Akcelerační oblastí prochází koridor ze ZÚR ZK DS112 (Koridor dopravní infrastruktury II/150, II/438 Bystřice p. Hostýnem – Poličná). VTE budou umisťovány mimo tento koridor. </w:t>
      </w:r>
    </w:p>
    <w:p w14:paraId="540B02EF" w14:textId="77777777" w:rsidR="008D5C85" w:rsidRP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50475FA2" w14:textId="26102292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b/>
          <w:bCs/>
          <w:sz w:val="20"/>
          <w:szCs w:val="20"/>
          <w:u w:val="single"/>
        </w:rPr>
        <w:t>AOV30 Kunovice</w:t>
      </w:r>
      <w:r w:rsidRPr="008D5C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D5C85">
        <w:rPr>
          <w:rFonts w:ascii="Arial" w:hAnsi="Arial" w:cs="Arial"/>
          <w:sz w:val="20"/>
          <w:szCs w:val="20"/>
        </w:rPr>
        <w:t xml:space="preserve">(území obcí Komárno, Kunovice, Kelč), kde není zohledněn koridor DS112 </w:t>
      </w:r>
    </w:p>
    <w:p w14:paraId="26CD3969" w14:textId="351F8E0D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C7E0220" wp14:editId="0067B825">
            <wp:extent cx="3800475" cy="2149690"/>
            <wp:effectExtent l="0" t="0" r="0" b="3175"/>
            <wp:docPr id="133424804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67" cy="21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C9E25" w14:textId="77777777" w:rsidR="008D5C85" w:rsidRPr="008D5C85" w:rsidRDefault="008D5C85" w:rsidP="008D5C85">
      <w:pPr>
        <w:rPr>
          <w:rFonts w:ascii="Arial" w:hAnsi="Arial" w:cs="Arial"/>
          <w:sz w:val="20"/>
          <w:szCs w:val="20"/>
          <w:u w:val="single"/>
        </w:rPr>
      </w:pPr>
      <w:r w:rsidRPr="008D5C85">
        <w:rPr>
          <w:rFonts w:ascii="Arial" w:hAnsi="Arial" w:cs="Arial"/>
          <w:i/>
          <w:iCs/>
          <w:sz w:val="20"/>
          <w:szCs w:val="20"/>
          <w:u w:val="single"/>
        </w:rPr>
        <w:t xml:space="preserve">Návrh doplnění podmínek a zmírňujících opatření pro povolení a provedení záměrů OZE: </w:t>
      </w:r>
    </w:p>
    <w:p w14:paraId="13BBD88C" w14:textId="77777777" w:rsidR="008D5C85" w:rsidRPr="008D5C85" w:rsidRDefault="008D5C85" w:rsidP="008D5C85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i/>
          <w:iCs/>
          <w:sz w:val="20"/>
          <w:szCs w:val="20"/>
        </w:rPr>
        <w:t xml:space="preserve">Akcelerační oblastí prochází koridor ze ZÚR ZK DS112 (Koridor dopravní infrastruktury II/150, II/438 Bystřice p. Hostýnem – Poličná). VTE budou umisťovány mimo tento koridor. </w:t>
      </w:r>
    </w:p>
    <w:p w14:paraId="43FCC5DA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36514809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6C20E331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00DBCBD6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05645164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4D21F149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679BFE1C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01C163D4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9E230FB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8B032E4" w14:textId="77777777" w:rsidR="008D5C85" w:rsidRDefault="008D5C85" w:rsidP="008D5C85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55E1E3B3" w14:textId="157DDDBC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b/>
          <w:bCs/>
          <w:sz w:val="20"/>
          <w:szCs w:val="20"/>
          <w:u w:val="single"/>
        </w:rPr>
        <w:t>AOV31 Kelč</w:t>
      </w:r>
      <w:r w:rsidRPr="008D5C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D5C85">
        <w:rPr>
          <w:rFonts w:ascii="Arial" w:hAnsi="Arial" w:cs="Arial"/>
          <w:sz w:val="20"/>
          <w:szCs w:val="20"/>
        </w:rPr>
        <w:t xml:space="preserve">(území obcí Kunovice, Loučka, Kelč, Police, Podolí), kde není zohledněn koridor DS112, TP204 </w:t>
      </w:r>
    </w:p>
    <w:p w14:paraId="606E465D" w14:textId="6B20AC89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F87EC25" wp14:editId="33ECEAFC">
            <wp:extent cx="3086100" cy="2131089"/>
            <wp:effectExtent l="0" t="0" r="0" b="2540"/>
            <wp:docPr id="12335132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51326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0711" cy="213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382C" w14:textId="35999823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i/>
          <w:iCs/>
          <w:sz w:val="20"/>
          <w:szCs w:val="20"/>
        </w:rPr>
        <w:t xml:space="preserve">Návrh doplnění podmínek a zmírňujících opatření pro povolení a provedení záměrů OZE: </w:t>
      </w:r>
    </w:p>
    <w:p w14:paraId="6F1CCA45" w14:textId="77777777" w:rsidR="008D5C85" w:rsidRPr="008D5C85" w:rsidRDefault="008D5C85" w:rsidP="008D5C85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i/>
          <w:iCs/>
          <w:sz w:val="20"/>
          <w:szCs w:val="20"/>
        </w:rPr>
        <w:t xml:space="preserve">Akcelerační oblastí prochází koridor ze ZÚR ZK DS112 (Koridor dopravní infrastruktury II/150, II/438, Bystřice p. Hostýnem – Poličná). VTE budou umisťovány mimo tento koridor. </w:t>
      </w:r>
    </w:p>
    <w:p w14:paraId="3E88B48C" w14:textId="77777777" w:rsidR="008D5C85" w:rsidRPr="008D5C85" w:rsidRDefault="008D5C85" w:rsidP="008D5C85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i/>
          <w:iCs/>
          <w:sz w:val="20"/>
          <w:szCs w:val="20"/>
        </w:rPr>
        <w:t xml:space="preserve">Akcelerační oblastí prochází koridor ze ZÚR ZK TP204 (Koridor VTL plynovodu + RS, Choryně – Kelč). VTE budou umisťovány mimo tento koridor. </w:t>
      </w:r>
    </w:p>
    <w:p w14:paraId="2323E624" w14:textId="77777777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b/>
          <w:bCs/>
          <w:sz w:val="20"/>
          <w:szCs w:val="20"/>
          <w:u w:val="single"/>
        </w:rPr>
        <w:t>AOV109 Lukoveček</w:t>
      </w:r>
      <w:r w:rsidRPr="008D5C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8D5C85">
        <w:rPr>
          <w:rFonts w:ascii="Arial" w:hAnsi="Arial" w:cs="Arial"/>
          <w:sz w:val="20"/>
          <w:szCs w:val="20"/>
        </w:rPr>
        <w:t xml:space="preserve">(území obcí Fryšták, Lukoveček, Martinice, Racková), kde není zohledněn koridor DS115 a další zásadní faktory z hlediska dopadů na životní prostředí v navrženém rozsahu nelze souhlasit. </w:t>
      </w:r>
    </w:p>
    <w:p w14:paraId="2A0E47B3" w14:textId="5B8CA821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46FBC65" wp14:editId="1750C74B">
            <wp:extent cx="3371850" cy="2298182"/>
            <wp:effectExtent l="0" t="0" r="0" b="6985"/>
            <wp:docPr id="38456425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3" cy="229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0C0C8" w14:textId="77777777" w:rsidR="008D5C85" w:rsidRPr="008D5C85" w:rsidRDefault="008D5C85" w:rsidP="008D5C85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i/>
          <w:iCs/>
          <w:sz w:val="20"/>
          <w:szCs w:val="20"/>
        </w:rPr>
        <w:t xml:space="preserve">Akcelerační oblast prochází koridor ze ZÚR ZK DS101 (Koridor dopravní infrastruktury dálnice II. třídy D49 Hulín – Fryšták – Vizovice), který není v návrhu zohledněn. </w:t>
      </w:r>
    </w:p>
    <w:p w14:paraId="563079FE" w14:textId="77777777" w:rsidR="008D5C85" w:rsidRPr="008D5C85" w:rsidRDefault="008D5C85" w:rsidP="008D5C85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i/>
          <w:iCs/>
          <w:sz w:val="20"/>
          <w:szCs w:val="20"/>
        </w:rPr>
        <w:t xml:space="preserve">Rozloha akcelerační oblasti je 387,57 ha. Zlínský kraj nesouhlasí s podmínkami v územním opatření, jelikož při realizaci záměrů nelze splnit zásadu preference méně kvalitní zemědělské půdy, a to za stanovení jakýchkoliv podmínek. </w:t>
      </w:r>
    </w:p>
    <w:p w14:paraId="1CC4EE1A" w14:textId="77777777" w:rsidR="008D5C85" w:rsidRPr="008D5C85" w:rsidRDefault="008D5C85" w:rsidP="008D5C85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D5C85">
        <w:rPr>
          <w:rFonts w:ascii="Arial" w:hAnsi="Arial" w:cs="Arial"/>
          <w:i/>
          <w:iCs/>
          <w:sz w:val="20"/>
          <w:szCs w:val="20"/>
        </w:rPr>
        <w:t xml:space="preserve">Z hlediska ochrany přírody nelze souhlasit s vymezením akcelerační oblasti, a to z důvodu necitelného narušení krajinného rázu. Oblast je navržena v těsné blízkosti hranic přírodního parku Hostýnské vrchy, jehož hlavním smyslem vyhlášení je ochrana krajinného rázu podle zákona č.114/92 Sb. o ochraně přírody a krajiny. </w:t>
      </w:r>
    </w:p>
    <w:p w14:paraId="544CC064" w14:textId="77777777" w:rsidR="008D5C85" w:rsidRPr="008D5C85" w:rsidRDefault="008D5C85" w:rsidP="008D5C85">
      <w:pPr>
        <w:rPr>
          <w:rFonts w:ascii="Arial" w:hAnsi="Arial" w:cs="Arial"/>
          <w:sz w:val="20"/>
          <w:szCs w:val="20"/>
        </w:rPr>
      </w:pPr>
    </w:p>
    <w:p w14:paraId="75BEEE53" w14:textId="77777777" w:rsidR="00AB5945" w:rsidRPr="008D5C85" w:rsidRDefault="00AB5945">
      <w:pPr>
        <w:rPr>
          <w:rFonts w:ascii="Arial" w:hAnsi="Arial" w:cs="Arial"/>
          <w:sz w:val="20"/>
          <w:szCs w:val="20"/>
        </w:rPr>
      </w:pPr>
    </w:p>
    <w:sectPr w:rsidR="00AB5945" w:rsidRPr="008D5C85" w:rsidSect="008D5C85">
      <w:pgSz w:w="11906" w:h="17338"/>
      <w:pgMar w:top="1145" w:right="1049" w:bottom="1417" w:left="1166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888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355BC2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849F10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A97728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57448173">
    <w:abstractNumId w:val="3"/>
  </w:num>
  <w:num w:numId="2" w16cid:durableId="761217894">
    <w:abstractNumId w:val="0"/>
  </w:num>
  <w:num w:numId="3" w16cid:durableId="1760132874">
    <w:abstractNumId w:val="1"/>
  </w:num>
  <w:num w:numId="4" w16cid:durableId="264267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85"/>
    <w:rsid w:val="00312D7F"/>
    <w:rsid w:val="008D5C85"/>
    <w:rsid w:val="00A70C2F"/>
    <w:rsid w:val="00AB5945"/>
    <w:rsid w:val="00D1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2989"/>
  <w15:chartTrackingRefBased/>
  <w15:docId w15:val="{4B04B4B3-5196-4BE3-8A8F-C3D75996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D5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D5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D5C8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D5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D5C8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5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D5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D5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D5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D5C8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D5C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D5C8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D5C8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D5C8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D5C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D5C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D5C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D5C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D5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D5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D5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D5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D5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D5C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D5C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D5C8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5C8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5C8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D5C8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1891</Characters>
  <Application>Microsoft Office Word</Application>
  <DocSecurity>4</DocSecurity>
  <Lines>15</Lines>
  <Paragraphs>4</Paragraphs>
  <ScaleCrop>false</ScaleCrop>
  <Company>Zlinsky kraj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Vandík Jan</dc:creator>
  <cp:keywords/>
  <dc:description/>
  <cp:lastModifiedBy>Vandík Jan</cp:lastModifiedBy>
  <cp:revision>2</cp:revision>
  <dcterms:created xsi:type="dcterms:W3CDTF">2026-05-13T13:33:00Z</dcterms:created>
  <dcterms:modified xsi:type="dcterms:W3CDTF">2026-05-13T13:33:00Z</dcterms:modified>
</cp:coreProperties>
</file>