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ajorEastAsia" w:cstheme="majorBidi"/>
          <w:caps/>
          <w:sz w:val="24"/>
          <w:szCs w:val="24"/>
          <w:highlight w:val="yellow"/>
        </w:rPr>
        <w:id w:val="473874771"/>
        <w:docPartObj>
          <w:docPartGallery w:val="Cover Pages"/>
          <w:docPartUnique/>
        </w:docPartObj>
      </w:sdtPr>
      <w:sdtEndPr>
        <w:rPr>
          <w:rFonts w:cstheme="minorBidi"/>
          <w:caps w:val="0"/>
          <w:sz w:val="22"/>
          <w:szCs w:val="22"/>
        </w:rPr>
      </w:sdtEndPr>
      <w:sdtContent>
        <w:tbl>
          <w:tblPr>
            <w:tblW w:w="5000" w:type="pct"/>
            <w:jc w:val="center"/>
            <w:tblLook w:val="04A0" w:firstRow="1" w:lastRow="0" w:firstColumn="1" w:lastColumn="0" w:noHBand="0" w:noVBand="1"/>
          </w:tblPr>
          <w:tblGrid>
            <w:gridCol w:w="9354"/>
          </w:tblGrid>
          <w:tr w:rsidR="00475554" w14:paraId="6A17CE47" w14:textId="77777777" w:rsidTr="4813B1C2">
            <w:trPr>
              <w:trHeight w:val="2880"/>
              <w:jc w:val="center"/>
            </w:trPr>
            <w:tc>
              <w:tcPr>
                <w:tcW w:w="5000" w:type="pct"/>
              </w:tcPr>
              <w:p w14:paraId="39B49D66" w14:textId="079F2EC7" w:rsidR="00056185" w:rsidRPr="005F49DD" w:rsidRDefault="00056185" w:rsidP="4813B1C2">
                <w:pPr>
                  <w:pStyle w:val="Zhlav"/>
                  <w:pBdr>
                    <w:bottom w:val="single" w:sz="4" w:space="1" w:color="auto"/>
                  </w:pBdr>
                  <w:jc w:val="right"/>
                  <w:rPr>
                    <w:rFonts w:ascii="Arial" w:hAnsi="Arial" w:cs="Arial"/>
                    <w:sz w:val="16"/>
                    <w:szCs w:val="16"/>
                  </w:rPr>
                </w:pPr>
                <w:r w:rsidRPr="4813B1C2">
                  <w:rPr>
                    <w:rFonts w:ascii="Arial" w:hAnsi="Arial" w:cs="Arial"/>
                    <w:sz w:val="16"/>
                    <w:szCs w:val="16"/>
                  </w:rPr>
                  <w:t xml:space="preserve">                               Zlínský kraj, IČO 70891320, Třída Tomáše Bati 21, 761 90 Zlín</w:t>
                </w:r>
              </w:p>
              <w:p w14:paraId="610724B3" w14:textId="77777777" w:rsidR="00475554" w:rsidRDefault="00475554">
                <w:pPr>
                  <w:pStyle w:val="Bezmezer"/>
                  <w:spacing w:before="120" w:after="120" w:line="276" w:lineRule="auto"/>
                  <w:jc w:val="center"/>
                  <w:rPr>
                    <w:caps/>
                    <w:sz w:val="24"/>
                    <w:szCs w:val="24"/>
                  </w:rPr>
                </w:pPr>
              </w:p>
            </w:tc>
          </w:tr>
          <w:tr w:rsidR="00475554" w14:paraId="02BCEB9C" w14:textId="77777777" w:rsidTr="4813B1C2">
            <w:trPr>
              <w:trHeight w:val="1440"/>
              <w:jc w:val="center"/>
            </w:trPr>
            <w:tc>
              <w:tcPr>
                <w:tcW w:w="5000" w:type="pct"/>
                <w:tcBorders>
                  <w:bottom w:val="single" w:sz="4" w:space="0" w:color="4F81BD" w:themeColor="accent1"/>
                </w:tcBorders>
                <w:vAlign w:val="center"/>
              </w:tcPr>
              <w:p w14:paraId="2E515F2C" w14:textId="77777777" w:rsidR="00475554" w:rsidRDefault="00B67ACF">
                <w:pPr>
                  <w:pStyle w:val="Bezmezer"/>
                  <w:spacing w:before="120" w:after="120" w:line="276" w:lineRule="auto"/>
                  <w:jc w:val="center"/>
                  <w:rPr>
                    <w:rFonts w:asciiTheme="majorHAnsi" w:eastAsiaTheme="majorEastAsia" w:hAnsiTheme="majorHAnsi" w:cstheme="majorBidi"/>
                    <w:sz w:val="44"/>
                    <w:szCs w:val="44"/>
                  </w:rPr>
                </w:pPr>
                <w:sdt>
                  <w:sdtPr>
                    <w:rPr>
                      <w:rFonts w:eastAsiaTheme="majorEastAsia" w:cstheme="majorBidi"/>
                      <w:b/>
                      <w:color w:val="244061" w:themeColor="accent1" w:themeShade="80"/>
                      <w:sz w:val="48"/>
                      <w:szCs w:val="48"/>
                    </w:rPr>
                    <w:alias w:val="Název"/>
                    <w:id w:val="15524250"/>
                    <w:dataBinding w:prefixMappings="xmlns:ns0='http://schemas.openxmlformats.org/package/2006/metadata/core-properties' xmlns:ns1='http://purl.org/dc/elements/1.1/'" w:xpath="/ns0:coreProperties[1]/ns1:title[1]" w:storeItemID="{6C3C8BC8-F283-45AE-878A-BAB7291924A1}"/>
                    <w:text/>
                  </w:sdtPr>
                  <w:sdtEndPr/>
                  <w:sdtContent>
                    <w:r w:rsidR="00157B87">
                      <w:rPr>
                        <w:rFonts w:eastAsiaTheme="majorEastAsia" w:cstheme="majorBidi"/>
                        <w:b/>
                        <w:color w:val="244061" w:themeColor="accent1" w:themeShade="80"/>
                        <w:sz w:val="48"/>
                        <w:szCs w:val="48"/>
                      </w:rPr>
                      <w:t>Podmínky pro stanovení vyrovnávací platby a finanční podpory sociálních služeb ve Zlínském kraji</w:t>
                    </w:r>
                  </w:sdtContent>
                </w:sdt>
              </w:p>
            </w:tc>
          </w:tr>
          <w:tr w:rsidR="00475554" w14:paraId="4988ACFE" w14:textId="77777777" w:rsidTr="4813B1C2">
            <w:trPr>
              <w:trHeight w:val="720"/>
              <w:jc w:val="center"/>
            </w:trPr>
            <w:tc>
              <w:tcPr>
                <w:tcW w:w="5000" w:type="pct"/>
                <w:tcBorders>
                  <w:top w:val="single" w:sz="4" w:space="0" w:color="4F81BD" w:themeColor="accent1"/>
                </w:tcBorders>
                <w:vAlign w:val="center"/>
              </w:tcPr>
              <w:p w14:paraId="24A7843C" w14:textId="77777777" w:rsidR="00475554" w:rsidRDefault="00B67ACF">
                <w:pPr>
                  <w:pStyle w:val="Bezmezer"/>
                  <w:spacing w:before="120" w:after="120" w:line="276" w:lineRule="auto"/>
                  <w:jc w:val="center"/>
                  <w:rPr>
                    <w:rFonts w:asciiTheme="majorHAnsi" w:hAnsiTheme="majorHAnsi"/>
                    <w:sz w:val="28"/>
                  </w:rPr>
                </w:pPr>
                <w:sdt>
                  <w:sdtPr>
                    <w:rPr>
                      <w:rFonts w:eastAsiaTheme="majorEastAsia" w:cstheme="majorBidi"/>
                      <w:sz w:val="26"/>
                      <w:szCs w:val="26"/>
                    </w:rPr>
                    <w:alias w:val="Podtitul"/>
                    <w:id w:val="590285807"/>
                    <w:showingPlcHdr/>
                    <w:dataBinding w:prefixMappings="xmlns:ns0='http://schemas.openxmlformats.org/package/2006/metadata/core-properties' xmlns:ns1='http://purl.org/dc/elements/1.1/'" w:xpath="/ns0:coreProperties[1]/ns1:subject[1]" w:storeItemID="{6C3C8BC8-F283-45AE-878A-BAB7291924A1}"/>
                    <w:text/>
                  </w:sdtPr>
                  <w:sdtEndPr/>
                  <w:sdtContent>
                    <w:r w:rsidR="00157B87">
                      <w:rPr>
                        <w:rFonts w:eastAsiaTheme="majorEastAsia" w:cstheme="majorBidi"/>
                        <w:sz w:val="26"/>
                        <w:szCs w:val="26"/>
                      </w:rPr>
                      <w:t xml:space="preserve">     </w:t>
                    </w:r>
                  </w:sdtContent>
                </w:sdt>
              </w:p>
            </w:tc>
          </w:tr>
          <w:tr w:rsidR="00475554" w14:paraId="032411E0" w14:textId="77777777" w:rsidTr="4813B1C2">
            <w:trPr>
              <w:trHeight w:val="360"/>
              <w:jc w:val="center"/>
            </w:trPr>
            <w:tc>
              <w:tcPr>
                <w:tcW w:w="5000" w:type="pct"/>
                <w:vAlign w:val="center"/>
              </w:tcPr>
              <w:p w14:paraId="1B6169C9" w14:textId="77777777" w:rsidR="00475554" w:rsidRDefault="00475554">
                <w:pPr>
                  <w:pStyle w:val="Bezmezer"/>
                  <w:spacing w:before="120" w:after="120" w:line="276" w:lineRule="auto"/>
                  <w:jc w:val="center"/>
                </w:pPr>
              </w:p>
            </w:tc>
          </w:tr>
          <w:tr w:rsidR="00475554" w14:paraId="1E5D3C1B" w14:textId="77777777" w:rsidTr="4813B1C2">
            <w:trPr>
              <w:trHeight w:val="360"/>
              <w:jc w:val="center"/>
            </w:trPr>
            <w:tc>
              <w:tcPr>
                <w:tcW w:w="5000" w:type="pct"/>
                <w:vAlign w:val="center"/>
              </w:tcPr>
              <w:p w14:paraId="19CE674A" w14:textId="77777777" w:rsidR="00475554" w:rsidRDefault="00475554">
                <w:pPr>
                  <w:pStyle w:val="Bezmezer"/>
                  <w:spacing w:before="120" w:after="120" w:line="276" w:lineRule="auto"/>
                  <w:jc w:val="center"/>
                  <w:rPr>
                    <w:b/>
                    <w:bCs/>
                  </w:rPr>
                </w:pPr>
              </w:p>
            </w:tc>
          </w:tr>
        </w:tbl>
        <w:p w14:paraId="79D7A774" w14:textId="77777777" w:rsidR="00475554" w:rsidRDefault="00056185">
          <w:pPr>
            <w:pStyle w:val="Default"/>
            <w:spacing w:before="120" w:after="120" w:line="276" w:lineRule="auto"/>
            <w:jc w:val="center"/>
            <w:rPr>
              <w:rFonts w:asciiTheme="minorHAnsi" w:hAnsiTheme="minorHAnsi"/>
              <w:b/>
              <w:bCs/>
              <w:color w:val="auto"/>
              <w:sz w:val="22"/>
              <w:szCs w:val="22"/>
            </w:rPr>
          </w:pPr>
          <w:r>
            <w:rPr>
              <w:noProof/>
              <w:lang w:eastAsia="cs-CZ"/>
            </w:rPr>
            <w:drawing>
              <wp:anchor distT="0" distB="0" distL="114300" distR="114300" simplePos="0" relativeHeight="251658240" behindDoc="0" locked="0" layoutInCell="1" allowOverlap="1" wp14:anchorId="4472FCE5" wp14:editId="0A5CBDA1">
                <wp:simplePos x="0" y="0"/>
                <wp:positionH relativeFrom="margin">
                  <wp:posOffset>59055</wp:posOffset>
                </wp:positionH>
                <wp:positionV relativeFrom="margin">
                  <wp:posOffset>-337820</wp:posOffset>
                </wp:positionV>
                <wp:extent cx="1556385" cy="475615"/>
                <wp:effectExtent l="0" t="0" r="5715" b="635"/>
                <wp:wrapSquare wrapText="bothSides"/>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pic:cNvPicPr>
                          <a:picLocks noChangeAspect="1" noChangeArrowheads="1"/>
                        </pic:cNvPicPr>
                      </pic:nvPicPr>
                      <pic:blipFill>
                        <a:blip r:embed="rId20" cstate="print">
                          <a:extLst>
                            <a:ext uri="{28A0092B-C50C-407E-A947-70E740481C1C}">
                              <a14:useLocalDpi xmlns:a14="http://schemas.microsoft.com/office/drawing/2010/main" val="0"/>
                            </a:ext>
                          </a:extLst>
                        </a:blip>
                        <a:srcRect l="11189" t="20473" r="10481" b="20441"/>
                        <a:stretch>
                          <a:fillRect/>
                        </a:stretch>
                      </pic:blipFill>
                      <pic:spPr bwMode="auto">
                        <a:xfrm>
                          <a:off x="0" y="0"/>
                          <a:ext cx="1556385" cy="475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7B87">
            <w:rPr>
              <w:rFonts w:asciiTheme="minorHAnsi" w:hAnsiTheme="minorHAnsi"/>
              <w:b/>
              <w:bCs/>
              <w:color w:val="auto"/>
              <w:sz w:val="22"/>
              <w:szCs w:val="22"/>
            </w:rPr>
            <w:t>Zpracoval:</w:t>
          </w:r>
        </w:p>
        <w:p w14:paraId="61401090" w14:textId="77777777" w:rsidR="00475554" w:rsidRDefault="00157B87">
          <w:pPr>
            <w:pStyle w:val="Default"/>
            <w:spacing w:before="120" w:after="120" w:line="276" w:lineRule="auto"/>
            <w:jc w:val="center"/>
            <w:rPr>
              <w:rFonts w:asciiTheme="minorHAnsi" w:hAnsiTheme="minorHAnsi"/>
              <w:bCs/>
              <w:color w:val="auto"/>
              <w:sz w:val="22"/>
              <w:szCs w:val="22"/>
            </w:rPr>
          </w:pPr>
          <w:r>
            <w:rPr>
              <w:rFonts w:asciiTheme="minorHAnsi" w:hAnsiTheme="minorHAnsi"/>
              <w:bCs/>
              <w:color w:val="auto"/>
              <w:sz w:val="22"/>
              <w:szCs w:val="22"/>
            </w:rPr>
            <w:t>Odbor sociálních věcí Krajského úřadu Zlínského kraje</w:t>
          </w:r>
        </w:p>
        <w:p w14:paraId="2D7A8802" w14:textId="77777777" w:rsidR="00475554" w:rsidRDefault="00475554">
          <w:pPr>
            <w:spacing w:before="120" w:after="120"/>
            <w:jc w:val="center"/>
            <w:rPr>
              <w:bCs/>
              <w:color w:val="000000" w:themeColor="text1"/>
            </w:rPr>
          </w:pPr>
        </w:p>
        <w:p w14:paraId="50C08AF8" w14:textId="77777777" w:rsidR="00475554" w:rsidRDefault="00475554">
          <w:pPr>
            <w:spacing w:before="120" w:after="120"/>
            <w:jc w:val="center"/>
            <w:rPr>
              <w:bCs/>
              <w:color w:val="000000" w:themeColor="text1"/>
            </w:rPr>
          </w:pPr>
        </w:p>
        <w:p w14:paraId="05A0288F" w14:textId="77777777" w:rsidR="00475554" w:rsidRDefault="00475554">
          <w:pPr>
            <w:spacing w:before="120" w:after="120"/>
            <w:jc w:val="center"/>
            <w:rPr>
              <w:bCs/>
              <w:color w:val="000000" w:themeColor="text1"/>
            </w:rPr>
          </w:pPr>
        </w:p>
        <w:p w14:paraId="6C40AEF8" w14:textId="77777777" w:rsidR="00475554" w:rsidRDefault="00475554">
          <w:pPr>
            <w:spacing w:before="120" w:after="120"/>
            <w:jc w:val="center"/>
            <w:rPr>
              <w:bCs/>
              <w:color w:val="000000" w:themeColor="text1"/>
            </w:rPr>
          </w:pPr>
        </w:p>
        <w:p w14:paraId="088542B4" w14:textId="77777777" w:rsidR="00475554" w:rsidRDefault="00475554">
          <w:pPr>
            <w:spacing w:before="120" w:after="120"/>
            <w:jc w:val="center"/>
            <w:rPr>
              <w:bCs/>
              <w:color w:val="000000" w:themeColor="text1"/>
            </w:rPr>
          </w:pPr>
        </w:p>
        <w:p w14:paraId="7B5CA85D" w14:textId="1CB0FD9E" w:rsidR="00475554" w:rsidRDefault="00157B87">
          <w:pPr>
            <w:spacing w:before="120" w:after="120"/>
            <w:jc w:val="center"/>
            <w:rPr>
              <w:bCs/>
              <w:color w:val="000000" w:themeColor="text1"/>
            </w:rPr>
          </w:pPr>
          <w:r>
            <w:rPr>
              <w:bCs/>
              <w:color w:val="000000" w:themeColor="text1"/>
            </w:rPr>
            <w:t xml:space="preserve">Schváleno Zastupitelstvem Zlínského kraje </w:t>
          </w:r>
          <w:r w:rsidRPr="00EE49FE">
            <w:rPr>
              <w:bCs/>
              <w:color w:val="000000" w:themeColor="text1"/>
            </w:rPr>
            <w:t>dne</w:t>
          </w:r>
          <w:r w:rsidR="007E47D9">
            <w:rPr>
              <w:bCs/>
              <w:color w:val="000000" w:themeColor="text1"/>
            </w:rPr>
            <w:t xml:space="preserve"> </w:t>
          </w:r>
          <w:r w:rsidR="00CF57D5">
            <w:rPr>
              <w:bCs/>
              <w:color w:val="000000" w:themeColor="text1"/>
            </w:rPr>
            <w:t>xx</w:t>
          </w:r>
          <w:r w:rsidR="00122394">
            <w:rPr>
              <w:bCs/>
              <w:color w:val="000000" w:themeColor="text1"/>
            </w:rPr>
            <w:t>.</w:t>
          </w:r>
          <w:r w:rsidR="007E47D9">
            <w:rPr>
              <w:bCs/>
              <w:color w:val="000000" w:themeColor="text1"/>
            </w:rPr>
            <w:t xml:space="preserve"> </w:t>
          </w:r>
          <w:r w:rsidR="00856FC5">
            <w:rPr>
              <w:bCs/>
              <w:color w:val="000000" w:themeColor="text1"/>
            </w:rPr>
            <w:t>xx</w:t>
          </w:r>
          <w:r w:rsidR="005E0AF9">
            <w:rPr>
              <w:bCs/>
              <w:color w:val="000000" w:themeColor="text1"/>
            </w:rPr>
            <w:t>.</w:t>
          </w:r>
          <w:r w:rsidR="007E47D9">
            <w:rPr>
              <w:bCs/>
              <w:color w:val="000000" w:themeColor="text1"/>
            </w:rPr>
            <w:t xml:space="preserve"> </w:t>
          </w:r>
          <w:r w:rsidR="00122394">
            <w:rPr>
              <w:bCs/>
              <w:color w:val="000000" w:themeColor="text1"/>
            </w:rPr>
            <w:t>202</w:t>
          </w:r>
          <w:r w:rsidR="00856FC5">
            <w:rPr>
              <w:bCs/>
              <w:color w:val="000000" w:themeColor="text1"/>
            </w:rPr>
            <w:t>6</w:t>
          </w:r>
          <w:r w:rsidRPr="00EE49FE">
            <w:rPr>
              <w:bCs/>
              <w:color w:val="000000" w:themeColor="text1"/>
            </w:rPr>
            <w:t>, č. usn</w:t>
          </w:r>
          <w:r w:rsidR="00DF1341">
            <w:rPr>
              <w:bCs/>
              <w:color w:val="000000" w:themeColor="text1"/>
            </w:rPr>
            <w:t>.</w:t>
          </w:r>
          <w:r w:rsidRPr="00EE49FE">
            <w:rPr>
              <w:bCs/>
              <w:color w:val="000000" w:themeColor="text1"/>
            </w:rPr>
            <w:t xml:space="preserve"> </w:t>
          </w:r>
          <w:r w:rsidR="00CF57D5">
            <w:rPr>
              <w:bCs/>
              <w:color w:val="000000" w:themeColor="text1"/>
            </w:rPr>
            <w:t>xxxx</w:t>
          </w:r>
          <w:r w:rsidR="00BA237B" w:rsidRPr="00BA237B">
            <w:rPr>
              <w:bCs/>
              <w:color w:val="000000" w:themeColor="text1"/>
            </w:rPr>
            <w:t>/Z</w:t>
          </w:r>
          <w:r w:rsidR="00CF57D5">
            <w:rPr>
              <w:bCs/>
              <w:color w:val="000000" w:themeColor="text1"/>
            </w:rPr>
            <w:t>xx</w:t>
          </w:r>
          <w:r w:rsidR="00BA237B" w:rsidRPr="00BA237B">
            <w:rPr>
              <w:bCs/>
              <w:color w:val="000000" w:themeColor="text1"/>
            </w:rPr>
            <w:t>/2</w:t>
          </w:r>
          <w:r w:rsidR="00856FC5">
            <w:rPr>
              <w:bCs/>
              <w:color w:val="000000" w:themeColor="text1"/>
            </w:rPr>
            <w:t>6</w:t>
          </w:r>
        </w:p>
        <w:p w14:paraId="544FF1BB" w14:textId="77777777" w:rsidR="00475554" w:rsidRDefault="00475554">
          <w:pPr>
            <w:spacing w:before="120" w:after="120"/>
            <w:jc w:val="center"/>
            <w:rPr>
              <w:bCs/>
              <w:color w:val="000000" w:themeColor="text1"/>
            </w:rPr>
          </w:pPr>
        </w:p>
        <w:p w14:paraId="19F9831B" w14:textId="77777777" w:rsidR="00475554" w:rsidRDefault="00475554">
          <w:pPr>
            <w:spacing w:before="120" w:after="120"/>
            <w:jc w:val="center"/>
            <w:rPr>
              <w:bCs/>
              <w:color w:val="000000" w:themeColor="text1"/>
            </w:rPr>
          </w:pPr>
        </w:p>
        <w:p w14:paraId="14275311" w14:textId="77777777" w:rsidR="00475554" w:rsidRDefault="00475554">
          <w:pPr>
            <w:spacing w:before="120" w:after="120"/>
            <w:jc w:val="center"/>
            <w:rPr>
              <w:bCs/>
              <w:color w:val="000000" w:themeColor="text1"/>
            </w:rPr>
          </w:pPr>
        </w:p>
        <w:p w14:paraId="43AA65C1" w14:textId="1F0CD11D" w:rsidR="00475554" w:rsidRDefault="00157B87">
          <w:pPr>
            <w:framePr w:hSpace="187" w:wrap="around" w:vAnchor="page" w:hAnchor="page" w:x="7794" w:y="14836"/>
            <w:spacing w:before="120" w:after="120"/>
            <w:suppressOverlap/>
            <w:jc w:val="both"/>
            <w:rPr>
              <w:rFonts w:eastAsiaTheme="minorEastAsia"/>
              <w:b/>
              <w:bCs/>
              <w:sz w:val="20"/>
              <w:szCs w:val="20"/>
              <w:lang w:eastAsia="cs-CZ"/>
            </w:rPr>
          </w:pPr>
          <w:r>
            <w:rPr>
              <w:rFonts w:eastAsiaTheme="minorEastAsia"/>
              <w:b/>
              <w:bCs/>
              <w:sz w:val="20"/>
              <w:szCs w:val="20"/>
              <w:lang w:eastAsia="cs-CZ"/>
            </w:rPr>
            <w:t>©202</w:t>
          </w:r>
          <w:r w:rsidR="00856FC5">
            <w:rPr>
              <w:rFonts w:eastAsiaTheme="minorEastAsia"/>
              <w:b/>
              <w:bCs/>
              <w:sz w:val="20"/>
              <w:szCs w:val="20"/>
              <w:lang w:eastAsia="cs-CZ"/>
            </w:rPr>
            <w:t>6</w:t>
          </w:r>
          <w:r>
            <w:rPr>
              <w:rFonts w:eastAsiaTheme="minorEastAsia"/>
              <w:b/>
              <w:bCs/>
              <w:sz w:val="20"/>
              <w:szCs w:val="20"/>
              <w:lang w:eastAsia="cs-CZ"/>
            </w:rPr>
            <w:t xml:space="preserve"> Zlínský kraj</w:t>
          </w:r>
        </w:p>
        <w:p w14:paraId="2C1B718C" w14:textId="77777777" w:rsidR="00F7678F" w:rsidRDefault="00157B87">
          <w:pPr>
            <w:spacing w:before="120" w:after="120"/>
            <w:jc w:val="both"/>
            <w:rPr>
              <w:bCs/>
              <w:sz w:val="20"/>
              <w:szCs w:val="20"/>
            </w:rPr>
          </w:pPr>
          <w:r>
            <w:rPr>
              <w:bCs/>
              <w:sz w:val="20"/>
              <w:szCs w:val="20"/>
            </w:rPr>
            <w:t>Jakékoliv používání a šíření dokumentu a jeho příloh je možné pouze se souhlasem Krajského úřadu Zlínského kraje na základě uzavření licenční smlouvy.</w:t>
          </w:r>
        </w:p>
        <w:p w14:paraId="112F5F3D" w14:textId="77777777" w:rsidR="00440313" w:rsidRDefault="00440313">
          <w:pPr>
            <w:spacing w:before="120" w:after="120"/>
            <w:jc w:val="both"/>
            <w:rPr>
              <w:bCs/>
            </w:rPr>
          </w:pPr>
        </w:p>
        <w:p w14:paraId="7B0E67E3" w14:textId="437240DE" w:rsidR="00475554" w:rsidRDefault="00B67ACF">
          <w:pPr>
            <w:spacing w:before="120" w:after="120"/>
            <w:jc w:val="both"/>
            <w:rPr>
              <w:bCs/>
            </w:rPr>
          </w:pPr>
        </w:p>
      </w:sdtContent>
    </w:sdt>
    <w:p w14:paraId="72B47A4E" w14:textId="77777777" w:rsidR="00475554" w:rsidRDefault="00475554">
      <w:pPr>
        <w:spacing w:before="120" w:after="120"/>
        <w:jc w:val="both"/>
        <w:rPr>
          <w:b/>
          <w:sz w:val="2"/>
          <w:szCs w:val="2"/>
        </w:rPr>
      </w:pPr>
    </w:p>
    <w:sdt>
      <w:sdtPr>
        <w:rPr>
          <w:rFonts w:ascii="Calibri" w:eastAsiaTheme="minorEastAsia" w:hAnsi="Calibri" w:cstheme="minorBidi"/>
          <w:b w:val="0"/>
          <w:bCs w:val="0"/>
          <w:color w:val="auto"/>
          <w:sz w:val="32"/>
          <w:szCs w:val="32"/>
          <w:highlight w:val="yellow"/>
          <w:lang w:eastAsia="en-US"/>
        </w:rPr>
        <w:id w:val="2022738578"/>
        <w:docPartObj>
          <w:docPartGallery w:val="Table of Contents"/>
          <w:docPartUnique/>
        </w:docPartObj>
      </w:sdtPr>
      <w:sdtEndPr>
        <w:rPr>
          <w:rFonts w:asciiTheme="minorHAnsi" w:hAnsiTheme="minorHAnsi"/>
          <w:sz w:val="22"/>
          <w:szCs w:val="22"/>
        </w:rPr>
      </w:sdtEndPr>
      <w:sdtContent>
        <w:p w14:paraId="10C4F282" w14:textId="77777777" w:rsidR="00475554" w:rsidRDefault="00157B87">
          <w:pPr>
            <w:pStyle w:val="Nadpisobsahu"/>
            <w:numPr>
              <w:ilvl w:val="0"/>
              <w:numId w:val="0"/>
            </w:numPr>
            <w:spacing w:before="120" w:after="120"/>
            <w:ind w:left="431" w:hanging="431"/>
            <w:jc w:val="both"/>
            <w:rPr>
              <w:rFonts w:ascii="Calibri" w:hAnsi="Calibri"/>
              <w:sz w:val="32"/>
              <w:szCs w:val="32"/>
            </w:rPr>
          </w:pPr>
          <w:r>
            <w:rPr>
              <w:rFonts w:ascii="Calibri" w:hAnsi="Calibri"/>
              <w:sz w:val="32"/>
              <w:szCs w:val="32"/>
            </w:rPr>
            <w:t>Obsah</w:t>
          </w:r>
        </w:p>
        <w:p w14:paraId="6E98158E" w14:textId="77777777" w:rsidR="00475554" w:rsidRDefault="00475554">
          <w:pPr>
            <w:spacing w:before="120" w:after="120"/>
            <w:jc w:val="both"/>
            <w:rPr>
              <w:lang w:eastAsia="cs-CZ"/>
            </w:rPr>
          </w:pPr>
        </w:p>
        <w:p w14:paraId="12F497DE" w14:textId="03D1097C" w:rsidR="00763D3B" w:rsidRDefault="00157B87" w:rsidP="00900B80">
          <w:pPr>
            <w:pStyle w:val="Obsah1"/>
            <w:rPr>
              <w:rFonts w:eastAsiaTheme="minorEastAsia"/>
              <w:noProof/>
              <w:kern w:val="2"/>
              <w:sz w:val="24"/>
              <w:szCs w:val="24"/>
              <w:lang w:eastAsia="cs-CZ"/>
              <w14:ligatures w14:val="standardContextual"/>
            </w:rPr>
          </w:pPr>
          <w:r>
            <w:fldChar w:fldCharType="begin"/>
          </w:r>
          <w:r>
            <w:instrText xml:space="preserve"> TOC \o "1-4" \h \z \u </w:instrText>
          </w:r>
          <w:r>
            <w:fldChar w:fldCharType="separate"/>
          </w:r>
          <w:hyperlink w:anchor="_Toc230777903" w:history="1">
            <w:r w:rsidR="00763D3B" w:rsidRPr="00CA6875">
              <w:rPr>
                <w:rStyle w:val="Hypertextovodkaz"/>
                <w:noProof/>
              </w:rPr>
              <w:t>1</w:t>
            </w:r>
            <w:r w:rsidR="00763D3B">
              <w:rPr>
                <w:rFonts w:eastAsiaTheme="minorEastAsia"/>
                <w:noProof/>
                <w:kern w:val="2"/>
                <w:sz w:val="24"/>
                <w:szCs w:val="24"/>
                <w:lang w:eastAsia="cs-CZ"/>
                <w14:ligatures w14:val="standardContextual"/>
              </w:rPr>
              <w:tab/>
            </w:r>
            <w:r w:rsidR="00763D3B" w:rsidRPr="00CA6875">
              <w:rPr>
                <w:rStyle w:val="Hypertextovodkaz"/>
                <w:noProof/>
              </w:rPr>
              <w:t>Úvod</w:t>
            </w:r>
            <w:r w:rsidR="00763D3B">
              <w:rPr>
                <w:noProof/>
                <w:webHidden/>
              </w:rPr>
              <w:tab/>
            </w:r>
            <w:r w:rsidR="00763D3B">
              <w:rPr>
                <w:noProof/>
                <w:webHidden/>
              </w:rPr>
              <w:fldChar w:fldCharType="begin"/>
            </w:r>
            <w:r w:rsidR="00763D3B">
              <w:rPr>
                <w:noProof/>
                <w:webHidden/>
              </w:rPr>
              <w:instrText xml:space="preserve"> PAGEREF _Toc230777903 \h </w:instrText>
            </w:r>
            <w:r w:rsidR="00763D3B">
              <w:rPr>
                <w:noProof/>
                <w:webHidden/>
              </w:rPr>
            </w:r>
            <w:r w:rsidR="00763D3B">
              <w:rPr>
                <w:noProof/>
                <w:webHidden/>
              </w:rPr>
              <w:fldChar w:fldCharType="separate"/>
            </w:r>
            <w:r w:rsidR="00763D3B">
              <w:rPr>
                <w:noProof/>
                <w:webHidden/>
              </w:rPr>
              <w:t>4</w:t>
            </w:r>
            <w:r w:rsidR="00763D3B">
              <w:rPr>
                <w:noProof/>
                <w:webHidden/>
              </w:rPr>
              <w:fldChar w:fldCharType="end"/>
            </w:r>
          </w:hyperlink>
        </w:p>
        <w:p w14:paraId="4C72D273" w14:textId="218BFB08" w:rsidR="00763D3B" w:rsidRDefault="00763D3B" w:rsidP="00900B80">
          <w:pPr>
            <w:pStyle w:val="Obsah1"/>
            <w:rPr>
              <w:rFonts w:eastAsiaTheme="minorEastAsia"/>
              <w:noProof/>
              <w:kern w:val="2"/>
              <w:sz w:val="24"/>
              <w:szCs w:val="24"/>
              <w:lang w:eastAsia="cs-CZ"/>
              <w14:ligatures w14:val="standardContextual"/>
            </w:rPr>
          </w:pPr>
          <w:hyperlink w:anchor="_Toc230777904" w:history="1">
            <w:r w:rsidRPr="00CA6875">
              <w:rPr>
                <w:rStyle w:val="Hypertextovodkaz"/>
                <w:noProof/>
              </w:rPr>
              <w:t>2</w:t>
            </w:r>
            <w:r>
              <w:rPr>
                <w:rFonts w:eastAsiaTheme="minorEastAsia"/>
                <w:noProof/>
                <w:kern w:val="2"/>
                <w:sz w:val="24"/>
                <w:szCs w:val="24"/>
                <w:lang w:eastAsia="cs-CZ"/>
                <w14:ligatures w14:val="standardContextual"/>
              </w:rPr>
              <w:tab/>
            </w:r>
            <w:r w:rsidRPr="00CA6875">
              <w:rPr>
                <w:rStyle w:val="Hypertextovodkaz"/>
                <w:noProof/>
              </w:rPr>
              <w:t>Legislativní rámec</w:t>
            </w:r>
            <w:r>
              <w:rPr>
                <w:noProof/>
                <w:webHidden/>
              </w:rPr>
              <w:tab/>
            </w:r>
            <w:r>
              <w:rPr>
                <w:noProof/>
                <w:webHidden/>
              </w:rPr>
              <w:fldChar w:fldCharType="begin"/>
            </w:r>
            <w:r>
              <w:rPr>
                <w:noProof/>
                <w:webHidden/>
              </w:rPr>
              <w:instrText xml:space="preserve"> PAGEREF _Toc230777904 \h </w:instrText>
            </w:r>
            <w:r>
              <w:rPr>
                <w:noProof/>
                <w:webHidden/>
              </w:rPr>
            </w:r>
            <w:r>
              <w:rPr>
                <w:noProof/>
                <w:webHidden/>
              </w:rPr>
              <w:fldChar w:fldCharType="separate"/>
            </w:r>
            <w:r>
              <w:rPr>
                <w:noProof/>
                <w:webHidden/>
              </w:rPr>
              <w:t>5</w:t>
            </w:r>
            <w:r>
              <w:rPr>
                <w:noProof/>
                <w:webHidden/>
              </w:rPr>
              <w:fldChar w:fldCharType="end"/>
            </w:r>
          </w:hyperlink>
        </w:p>
        <w:p w14:paraId="6C0070F6" w14:textId="7360A3D3"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05" w:history="1">
            <w:r w:rsidRPr="00CA6875">
              <w:rPr>
                <w:rStyle w:val="Hypertextovodkaz"/>
                <w:rFonts w:ascii="Calibri" w:hAnsi="Calibri"/>
                <w:noProof/>
              </w:rPr>
              <w:t>2.1</w:t>
            </w:r>
            <w:r>
              <w:rPr>
                <w:rFonts w:eastAsiaTheme="minorEastAsia"/>
                <w:noProof/>
                <w:kern w:val="2"/>
                <w:sz w:val="24"/>
                <w:szCs w:val="24"/>
                <w:lang w:eastAsia="cs-CZ"/>
                <w14:ligatures w14:val="standardContextual"/>
              </w:rPr>
              <w:tab/>
            </w:r>
            <w:r w:rsidRPr="00CA6875">
              <w:rPr>
                <w:rStyle w:val="Hypertextovodkaz"/>
                <w:rFonts w:ascii="Calibri" w:hAnsi="Calibri"/>
                <w:noProof/>
              </w:rPr>
              <w:t>Rozhodnutí SGEI</w:t>
            </w:r>
            <w:r>
              <w:rPr>
                <w:noProof/>
                <w:webHidden/>
              </w:rPr>
              <w:tab/>
            </w:r>
            <w:r>
              <w:rPr>
                <w:noProof/>
                <w:webHidden/>
              </w:rPr>
              <w:fldChar w:fldCharType="begin"/>
            </w:r>
            <w:r>
              <w:rPr>
                <w:noProof/>
                <w:webHidden/>
              </w:rPr>
              <w:instrText xml:space="preserve"> PAGEREF _Toc230777905 \h </w:instrText>
            </w:r>
            <w:r>
              <w:rPr>
                <w:noProof/>
                <w:webHidden/>
              </w:rPr>
            </w:r>
            <w:r>
              <w:rPr>
                <w:noProof/>
                <w:webHidden/>
              </w:rPr>
              <w:fldChar w:fldCharType="separate"/>
            </w:r>
            <w:r>
              <w:rPr>
                <w:noProof/>
                <w:webHidden/>
              </w:rPr>
              <w:t>5</w:t>
            </w:r>
            <w:r>
              <w:rPr>
                <w:noProof/>
                <w:webHidden/>
              </w:rPr>
              <w:fldChar w:fldCharType="end"/>
            </w:r>
          </w:hyperlink>
        </w:p>
        <w:p w14:paraId="67FA742B" w14:textId="21E67428"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06" w:history="1">
            <w:r w:rsidRPr="00CA6875">
              <w:rPr>
                <w:rStyle w:val="Hypertextovodkaz"/>
                <w:rFonts w:ascii="Calibri" w:hAnsi="Calibri"/>
                <w:noProof/>
              </w:rPr>
              <w:t>2.2</w:t>
            </w:r>
            <w:r>
              <w:rPr>
                <w:rFonts w:eastAsiaTheme="minorEastAsia"/>
                <w:noProof/>
                <w:kern w:val="2"/>
                <w:sz w:val="24"/>
                <w:szCs w:val="24"/>
                <w:lang w:eastAsia="cs-CZ"/>
                <w14:ligatures w14:val="standardContextual"/>
              </w:rPr>
              <w:tab/>
            </w:r>
            <w:r w:rsidRPr="00CA6875">
              <w:rPr>
                <w:rStyle w:val="Hypertextovodkaz"/>
                <w:rFonts w:ascii="Calibri" w:hAnsi="Calibri"/>
                <w:noProof/>
              </w:rPr>
              <w:t>Zákon o sociálních službách a související předpisy</w:t>
            </w:r>
            <w:r>
              <w:rPr>
                <w:noProof/>
                <w:webHidden/>
              </w:rPr>
              <w:tab/>
            </w:r>
            <w:r>
              <w:rPr>
                <w:noProof/>
                <w:webHidden/>
              </w:rPr>
              <w:fldChar w:fldCharType="begin"/>
            </w:r>
            <w:r>
              <w:rPr>
                <w:noProof/>
                <w:webHidden/>
              </w:rPr>
              <w:instrText xml:space="preserve"> PAGEREF _Toc230777906 \h </w:instrText>
            </w:r>
            <w:r>
              <w:rPr>
                <w:noProof/>
                <w:webHidden/>
              </w:rPr>
            </w:r>
            <w:r>
              <w:rPr>
                <w:noProof/>
                <w:webHidden/>
              </w:rPr>
              <w:fldChar w:fldCharType="separate"/>
            </w:r>
            <w:r>
              <w:rPr>
                <w:noProof/>
                <w:webHidden/>
              </w:rPr>
              <w:t>6</w:t>
            </w:r>
            <w:r>
              <w:rPr>
                <w:noProof/>
                <w:webHidden/>
              </w:rPr>
              <w:fldChar w:fldCharType="end"/>
            </w:r>
          </w:hyperlink>
        </w:p>
        <w:p w14:paraId="0E47778E" w14:textId="0A1CFFC0" w:rsidR="00763D3B" w:rsidRDefault="00763D3B" w:rsidP="00900B80">
          <w:pPr>
            <w:pStyle w:val="Obsah1"/>
            <w:rPr>
              <w:rFonts w:eastAsiaTheme="minorEastAsia"/>
              <w:noProof/>
              <w:kern w:val="2"/>
              <w:sz w:val="24"/>
              <w:szCs w:val="24"/>
              <w:lang w:eastAsia="cs-CZ"/>
              <w14:ligatures w14:val="standardContextual"/>
            </w:rPr>
          </w:pPr>
          <w:hyperlink w:anchor="_Toc230777907" w:history="1">
            <w:r w:rsidRPr="00CA6875">
              <w:rPr>
                <w:rStyle w:val="Hypertextovodkaz"/>
                <w:noProof/>
              </w:rPr>
              <w:t>3</w:t>
            </w:r>
            <w:r>
              <w:rPr>
                <w:rFonts w:eastAsiaTheme="minorEastAsia"/>
                <w:noProof/>
                <w:kern w:val="2"/>
                <w:sz w:val="24"/>
                <w:szCs w:val="24"/>
                <w:lang w:eastAsia="cs-CZ"/>
                <w14:ligatures w14:val="standardContextual"/>
              </w:rPr>
              <w:tab/>
            </w:r>
            <w:r w:rsidRPr="00CA6875">
              <w:rPr>
                <w:rStyle w:val="Hypertextovodkaz"/>
                <w:noProof/>
              </w:rPr>
              <w:t>Systém vyrovnávací platby pro sociální služby ve Zlínském kraji</w:t>
            </w:r>
            <w:r>
              <w:rPr>
                <w:noProof/>
                <w:webHidden/>
              </w:rPr>
              <w:tab/>
            </w:r>
            <w:r>
              <w:rPr>
                <w:noProof/>
                <w:webHidden/>
              </w:rPr>
              <w:fldChar w:fldCharType="begin"/>
            </w:r>
            <w:r>
              <w:rPr>
                <w:noProof/>
                <w:webHidden/>
              </w:rPr>
              <w:instrText xml:space="preserve"> PAGEREF _Toc230777907 \h </w:instrText>
            </w:r>
            <w:r>
              <w:rPr>
                <w:noProof/>
                <w:webHidden/>
              </w:rPr>
            </w:r>
            <w:r>
              <w:rPr>
                <w:noProof/>
                <w:webHidden/>
              </w:rPr>
              <w:fldChar w:fldCharType="separate"/>
            </w:r>
            <w:r>
              <w:rPr>
                <w:noProof/>
                <w:webHidden/>
              </w:rPr>
              <w:t>8</w:t>
            </w:r>
            <w:r>
              <w:rPr>
                <w:noProof/>
                <w:webHidden/>
              </w:rPr>
              <w:fldChar w:fldCharType="end"/>
            </w:r>
          </w:hyperlink>
        </w:p>
        <w:p w14:paraId="66C24592" w14:textId="38E1E8BD"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08" w:history="1">
            <w:r w:rsidRPr="00CA6875">
              <w:rPr>
                <w:rStyle w:val="Hypertextovodkaz"/>
                <w:noProof/>
              </w:rPr>
              <w:t>3.1</w:t>
            </w:r>
            <w:r>
              <w:rPr>
                <w:rFonts w:eastAsiaTheme="minorEastAsia"/>
                <w:noProof/>
                <w:kern w:val="2"/>
                <w:sz w:val="24"/>
                <w:szCs w:val="24"/>
                <w:lang w:eastAsia="cs-CZ"/>
                <w14:ligatures w14:val="standardContextual"/>
              </w:rPr>
              <w:tab/>
            </w:r>
            <w:r w:rsidRPr="00CA6875">
              <w:rPr>
                <w:rStyle w:val="Hypertextovodkaz"/>
                <w:noProof/>
              </w:rPr>
              <w:t>Jednotná datová základna k analýze obvyklých nákladů pro stanovení vyrovnávací platby</w:t>
            </w:r>
            <w:r>
              <w:rPr>
                <w:noProof/>
                <w:webHidden/>
              </w:rPr>
              <w:tab/>
            </w:r>
            <w:r>
              <w:rPr>
                <w:noProof/>
                <w:webHidden/>
              </w:rPr>
              <w:fldChar w:fldCharType="begin"/>
            </w:r>
            <w:r>
              <w:rPr>
                <w:noProof/>
                <w:webHidden/>
              </w:rPr>
              <w:instrText xml:space="preserve"> PAGEREF _Toc230777908 \h </w:instrText>
            </w:r>
            <w:r>
              <w:rPr>
                <w:noProof/>
                <w:webHidden/>
              </w:rPr>
            </w:r>
            <w:r>
              <w:rPr>
                <w:noProof/>
                <w:webHidden/>
              </w:rPr>
              <w:fldChar w:fldCharType="separate"/>
            </w:r>
            <w:r>
              <w:rPr>
                <w:noProof/>
                <w:webHidden/>
              </w:rPr>
              <w:t>8</w:t>
            </w:r>
            <w:r>
              <w:rPr>
                <w:noProof/>
                <w:webHidden/>
              </w:rPr>
              <w:fldChar w:fldCharType="end"/>
            </w:r>
          </w:hyperlink>
        </w:p>
        <w:p w14:paraId="45F3DAB7" w14:textId="1CDA1FFB" w:rsidR="00763D3B" w:rsidRDefault="00763D3B" w:rsidP="00900B80">
          <w:pPr>
            <w:pStyle w:val="Obsah1"/>
            <w:rPr>
              <w:rFonts w:eastAsiaTheme="minorEastAsia"/>
              <w:noProof/>
              <w:kern w:val="2"/>
              <w:sz w:val="24"/>
              <w:szCs w:val="24"/>
              <w:lang w:eastAsia="cs-CZ"/>
              <w14:ligatures w14:val="standardContextual"/>
            </w:rPr>
          </w:pPr>
          <w:hyperlink w:anchor="_Toc230777909" w:history="1">
            <w:r w:rsidRPr="00CA6875">
              <w:rPr>
                <w:rStyle w:val="Hypertextovodkaz"/>
                <w:noProof/>
              </w:rPr>
              <w:t>4</w:t>
            </w:r>
            <w:r>
              <w:rPr>
                <w:rFonts w:eastAsiaTheme="minorEastAsia"/>
                <w:noProof/>
                <w:kern w:val="2"/>
                <w:sz w:val="24"/>
                <w:szCs w:val="24"/>
                <w:lang w:eastAsia="cs-CZ"/>
                <w14:ligatures w14:val="standardContextual"/>
              </w:rPr>
              <w:tab/>
            </w:r>
            <w:r w:rsidRPr="00CA6875">
              <w:rPr>
                <w:rStyle w:val="Hypertextovodkaz"/>
                <w:noProof/>
              </w:rPr>
              <w:t>Východiska pro stanovení vyrovnávací platby</w:t>
            </w:r>
            <w:r>
              <w:rPr>
                <w:noProof/>
                <w:webHidden/>
              </w:rPr>
              <w:tab/>
            </w:r>
            <w:r>
              <w:rPr>
                <w:noProof/>
                <w:webHidden/>
              </w:rPr>
              <w:fldChar w:fldCharType="begin"/>
            </w:r>
            <w:r>
              <w:rPr>
                <w:noProof/>
                <w:webHidden/>
              </w:rPr>
              <w:instrText xml:space="preserve"> PAGEREF _Toc230777909 \h </w:instrText>
            </w:r>
            <w:r>
              <w:rPr>
                <w:noProof/>
                <w:webHidden/>
              </w:rPr>
            </w:r>
            <w:r>
              <w:rPr>
                <w:noProof/>
                <w:webHidden/>
              </w:rPr>
              <w:fldChar w:fldCharType="separate"/>
            </w:r>
            <w:r>
              <w:rPr>
                <w:noProof/>
                <w:webHidden/>
              </w:rPr>
              <w:t>10</w:t>
            </w:r>
            <w:r>
              <w:rPr>
                <w:noProof/>
                <w:webHidden/>
              </w:rPr>
              <w:fldChar w:fldCharType="end"/>
            </w:r>
          </w:hyperlink>
        </w:p>
        <w:p w14:paraId="371A6ECE" w14:textId="45EE2681"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10" w:history="1">
            <w:r w:rsidRPr="00CA6875">
              <w:rPr>
                <w:rStyle w:val="Hypertextovodkaz"/>
                <w:rFonts w:ascii="Calibri" w:hAnsi="Calibri"/>
                <w:noProof/>
              </w:rPr>
              <w:t>4.1</w:t>
            </w:r>
            <w:r>
              <w:rPr>
                <w:rFonts w:eastAsiaTheme="minorEastAsia"/>
                <w:noProof/>
                <w:kern w:val="2"/>
                <w:sz w:val="24"/>
                <w:szCs w:val="24"/>
                <w:lang w:eastAsia="cs-CZ"/>
                <w14:ligatures w14:val="standardContextual"/>
              </w:rPr>
              <w:tab/>
            </w:r>
            <w:r w:rsidRPr="00CA6875">
              <w:rPr>
                <w:rStyle w:val="Hypertextovodkaz"/>
                <w:rFonts w:ascii="Calibri" w:hAnsi="Calibri"/>
                <w:noProof/>
              </w:rPr>
              <w:t>Jednotka sociální služby</w:t>
            </w:r>
            <w:r>
              <w:rPr>
                <w:noProof/>
                <w:webHidden/>
              </w:rPr>
              <w:tab/>
            </w:r>
            <w:r>
              <w:rPr>
                <w:noProof/>
                <w:webHidden/>
              </w:rPr>
              <w:fldChar w:fldCharType="begin"/>
            </w:r>
            <w:r>
              <w:rPr>
                <w:noProof/>
                <w:webHidden/>
              </w:rPr>
              <w:instrText xml:space="preserve"> PAGEREF _Toc230777910 \h </w:instrText>
            </w:r>
            <w:r>
              <w:rPr>
                <w:noProof/>
                <w:webHidden/>
              </w:rPr>
            </w:r>
            <w:r>
              <w:rPr>
                <w:noProof/>
                <w:webHidden/>
              </w:rPr>
              <w:fldChar w:fldCharType="separate"/>
            </w:r>
            <w:r>
              <w:rPr>
                <w:noProof/>
                <w:webHidden/>
              </w:rPr>
              <w:t>10</w:t>
            </w:r>
            <w:r>
              <w:rPr>
                <w:noProof/>
                <w:webHidden/>
              </w:rPr>
              <w:fldChar w:fldCharType="end"/>
            </w:r>
          </w:hyperlink>
        </w:p>
        <w:p w14:paraId="0C19A3E4" w14:textId="52D87E7D"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11" w:history="1">
            <w:r w:rsidRPr="00CA6875">
              <w:rPr>
                <w:rStyle w:val="Hypertextovodkaz"/>
                <w:rFonts w:ascii="Calibri" w:hAnsi="Calibri"/>
                <w:noProof/>
              </w:rPr>
              <w:t>4.2</w:t>
            </w:r>
            <w:r>
              <w:rPr>
                <w:rFonts w:eastAsiaTheme="minorEastAsia"/>
                <w:noProof/>
                <w:kern w:val="2"/>
                <w:sz w:val="24"/>
                <w:szCs w:val="24"/>
                <w:lang w:eastAsia="cs-CZ"/>
                <w14:ligatures w14:val="standardContextual"/>
              </w:rPr>
              <w:tab/>
            </w:r>
            <w:r w:rsidRPr="00CA6875">
              <w:rPr>
                <w:rStyle w:val="Hypertextovodkaz"/>
                <w:rFonts w:ascii="Calibri" w:hAnsi="Calibri"/>
                <w:noProof/>
              </w:rPr>
              <w:t>Náklady sociální služby</w:t>
            </w:r>
            <w:r>
              <w:rPr>
                <w:noProof/>
                <w:webHidden/>
              </w:rPr>
              <w:tab/>
            </w:r>
            <w:r>
              <w:rPr>
                <w:noProof/>
                <w:webHidden/>
              </w:rPr>
              <w:fldChar w:fldCharType="begin"/>
            </w:r>
            <w:r>
              <w:rPr>
                <w:noProof/>
                <w:webHidden/>
              </w:rPr>
              <w:instrText xml:space="preserve"> PAGEREF _Toc230777911 \h </w:instrText>
            </w:r>
            <w:r>
              <w:rPr>
                <w:noProof/>
                <w:webHidden/>
              </w:rPr>
            </w:r>
            <w:r>
              <w:rPr>
                <w:noProof/>
                <w:webHidden/>
              </w:rPr>
              <w:fldChar w:fldCharType="separate"/>
            </w:r>
            <w:r>
              <w:rPr>
                <w:noProof/>
                <w:webHidden/>
              </w:rPr>
              <w:t>12</w:t>
            </w:r>
            <w:r>
              <w:rPr>
                <w:noProof/>
                <w:webHidden/>
              </w:rPr>
              <w:fldChar w:fldCharType="end"/>
            </w:r>
          </w:hyperlink>
        </w:p>
        <w:p w14:paraId="4EB10724" w14:textId="0C0151A5"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12" w:history="1">
            <w:r w:rsidRPr="00CA6875">
              <w:rPr>
                <w:rStyle w:val="Hypertextovodkaz"/>
                <w:rFonts w:ascii="Calibri" w:hAnsi="Calibri"/>
                <w:noProof/>
              </w:rPr>
              <w:t>4.3</w:t>
            </w:r>
            <w:r>
              <w:rPr>
                <w:rFonts w:eastAsiaTheme="minorEastAsia"/>
                <w:noProof/>
                <w:kern w:val="2"/>
                <w:sz w:val="24"/>
                <w:szCs w:val="24"/>
                <w:lang w:eastAsia="cs-CZ"/>
                <w14:ligatures w14:val="standardContextual"/>
              </w:rPr>
              <w:tab/>
            </w:r>
            <w:r w:rsidRPr="00CA6875">
              <w:rPr>
                <w:rStyle w:val="Hypertextovodkaz"/>
                <w:rFonts w:ascii="Calibri" w:hAnsi="Calibri"/>
                <w:noProof/>
              </w:rPr>
              <w:t>Výnosy sociální služby</w:t>
            </w:r>
            <w:r>
              <w:rPr>
                <w:noProof/>
                <w:webHidden/>
              </w:rPr>
              <w:tab/>
            </w:r>
            <w:r>
              <w:rPr>
                <w:noProof/>
                <w:webHidden/>
              </w:rPr>
              <w:fldChar w:fldCharType="begin"/>
            </w:r>
            <w:r>
              <w:rPr>
                <w:noProof/>
                <w:webHidden/>
              </w:rPr>
              <w:instrText xml:space="preserve"> PAGEREF _Toc230777912 \h </w:instrText>
            </w:r>
            <w:r>
              <w:rPr>
                <w:noProof/>
                <w:webHidden/>
              </w:rPr>
            </w:r>
            <w:r>
              <w:rPr>
                <w:noProof/>
                <w:webHidden/>
              </w:rPr>
              <w:fldChar w:fldCharType="separate"/>
            </w:r>
            <w:r>
              <w:rPr>
                <w:noProof/>
                <w:webHidden/>
              </w:rPr>
              <w:t>15</w:t>
            </w:r>
            <w:r>
              <w:rPr>
                <w:noProof/>
                <w:webHidden/>
              </w:rPr>
              <w:fldChar w:fldCharType="end"/>
            </w:r>
          </w:hyperlink>
        </w:p>
        <w:p w14:paraId="786BDB72" w14:textId="5BD2BFDE"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13" w:history="1">
            <w:r w:rsidRPr="00CA6875">
              <w:rPr>
                <w:rStyle w:val="Hypertextovodkaz"/>
                <w:rFonts w:ascii="Calibri" w:hAnsi="Calibri"/>
                <w:noProof/>
              </w:rPr>
              <w:t>4.4</w:t>
            </w:r>
            <w:r>
              <w:rPr>
                <w:rFonts w:eastAsiaTheme="minorEastAsia"/>
                <w:noProof/>
                <w:kern w:val="2"/>
                <w:sz w:val="24"/>
                <w:szCs w:val="24"/>
                <w:lang w:eastAsia="cs-CZ"/>
                <w14:ligatures w14:val="standardContextual"/>
              </w:rPr>
              <w:tab/>
            </w:r>
            <w:r w:rsidRPr="00CA6875">
              <w:rPr>
                <w:rStyle w:val="Hypertextovodkaz"/>
                <w:rFonts w:ascii="Calibri" w:hAnsi="Calibri"/>
                <w:noProof/>
              </w:rPr>
              <w:t>Vyrovnávací platba</w:t>
            </w:r>
            <w:r>
              <w:rPr>
                <w:noProof/>
                <w:webHidden/>
              </w:rPr>
              <w:tab/>
            </w:r>
            <w:r>
              <w:rPr>
                <w:noProof/>
                <w:webHidden/>
              </w:rPr>
              <w:fldChar w:fldCharType="begin"/>
            </w:r>
            <w:r>
              <w:rPr>
                <w:noProof/>
                <w:webHidden/>
              </w:rPr>
              <w:instrText xml:space="preserve"> PAGEREF _Toc230777913 \h </w:instrText>
            </w:r>
            <w:r>
              <w:rPr>
                <w:noProof/>
                <w:webHidden/>
              </w:rPr>
            </w:r>
            <w:r>
              <w:rPr>
                <w:noProof/>
                <w:webHidden/>
              </w:rPr>
              <w:fldChar w:fldCharType="separate"/>
            </w:r>
            <w:r>
              <w:rPr>
                <w:noProof/>
                <w:webHidden/>
              </w:rPr>
              <w:t>15</w:t>
            </w:r>
            <w:r>
              <w:rPr>
                <w:noProof/>
                <w:webHidden/>
              </w:rPr>
              <w:fldChar w:fldCharType="end"/>
            </w:r>
          </w:hyperlink>
        </w:p>
        <w:p w14:paraId="5CCEAFC7" w14:textId="0675CB91"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14" w:history="1">
            <w:r w:rsidRPr="00CA6875">
              <w:rPr>
                <w:rStyle w:val="Hypertextovodkaz"/>
                <w:rFonts w:ascii="Calibri" w:hAnsi="Calibri"/>
                <w:noProof/>
              </w:rPr>
              <w:t>4.5</w:t>
            </w:r>
            <w:r>
              <w:rPr>
                <w:rFonts w:eastAsiaTheme="minorEastAsia"/>
                <w:noProof/>
                <w:kern w:val="2"/>
                <w:sz w:val="24"/>
                <w:szCs w:val="24"/>
                <w:lang w:eastAsia="cs-CZ"/>
                <w14:ligatures w14:val="standardContextual"/>
              </w:rPr>
              <w:tab/>
            </w:r>
            <w:r w:rsidRPr="00CA6875">
              <w:rPr>
                <w:rStyle w:val="Hypertextovodkaz"/>
                <w:rFonts w:ascii="Calibri" w:hAnsi="Calibri"/>
                <w:noProof/>
              </w:rPr>
              <w:t>Kritéria poskytování vyrovnávací platby</w:t>
            </w:r>
            <w:r>
              <w:rPr>
                <w:noProof/>
                <w:webHidden/>
              </w:rPr>
              <w:tab/>
            </w:r>
            <w:r>
              <w:rPr>
                <w:noProof/>
                <w:webHidden/>
              </w:rPr>
              <w:fldChar w:fldCharType="begin"/>
            </w:r>
            <w:r>
              <w:rPr>
                <w:noProof/>
                <w:webHidden/>
              </w:rPr>
              <w:instrText xml:space="preserve"> PAGEREF _Toc230777914 \h </w:instrText>
            </w:r>
            <w:r>
              <w:rPr>
                <w:noProof/>
                <w:webHidden/>
              </w:rPr>
            </w:r>
            <w:r>
              <w:rPr>
                <w:noProof/>
                <w:webHidden/>
              </w:rPr>
              <w:fldChar w:fldCharType="separate"/>
            </w:r>
            <w:r>
              <w:rPr>
                <w:noProof/>
                <w:webHidden/>
              </w:rPr>
              <w:t>16</w:t>
            </w:r>
            <w:r>
              <w:rPr>
                <w:noProof/>
                <w:webHidden/>
              </w:rPr>
              <w:fldChar w:fldCharType="end"/>
            </w:r>
          </w:hyperlink>
        </w:p>
        <w:p w14:paraId="003A5FCE" w14:textId="0F2D5AE6" w:rsidR="00763D3B" w:rsidRDefault="00763D3B" w:rsidP="00900B80">
          <w:pPr>
            <w:pStyle w:val="Obsah1"/>
            <w:rPr>
              <w:rFonts w:eastAsiaTheme="minorEastAsia"/>
              <w:noProof/>
              <w:kern w:val="2"/>
              <w:sz w:val="24"/>
              <w:szCs w:val="24"/>
              <w:lang w:eastAsia="cs-CZ"/>
              <w14:ligatures w14:val="standardContextual"/>
            </w:rPr>
          </w:pPr>
          <w:hyperlink w:anchor="_Toc230777915" w:history="1">
            <w:r w:rsidRPr="00CA6875">
              <w:rPr>
                <w:rStyle w:val="Hypertextovodkaz"/>
                <w:noProof/>
                <w:spacing w:val="-6"/>
              </w:rPr>
              <w:t>5</w:t>
            </w:r>
            <w:r>
              <w:rPr>
                <w:rFonts w:eastAsiaTheme="minorEastAsia"/>
                <w:noProof/>
                <w:kern w:val="2"/>
                <w:sz w:val="24"/>
                <w:szCs w:val="24"/>
                <w:lang w:eastAsia="cs-CZ"/>
                <w14:ligatures w14:val="standardContextual"/>
              </w:rPr>
              <w:tab/>
            </w:r>
            <w:r w:rsidRPr="00CA6875">
              <w:rPr>
                <w:rStyle w:val="Hypertextovodkaz"/>
                <w:noProof/>
                <w:spacing w:val="-6"/>
              </w:rPr>
              <w:t>Mechanismus stanovení vyrovnávací platby</w:t>
            </w:r>
            <w:r>
              <w:rPr>
                <w:noProof/>
                <w:webHidden/>
              </w:rPr>
              <w:tab/>
            </w:r>
            <w:r>
              <w:rPr>
                <w:noProof/>
                <w:webHidden/>
              </w:rPr>
              <w:fldChar w:fldCharType="begin"/>
            </w:r>
            <w:r>
              <w:rPr>
                <w:noProof/>
                <w:webHidden/>
              </w:rPr>
              <w:instrText xml:space="preserve"> PAGEREF _Toc230777915 \h </w:instrText>
            </w:r>
            <w:r>
              <w:rPr>
                <w:noProof/>
                <w:webHidden/>
              </w:rPr>
            </w:r>
            <w:r>
              <w:rPr>
                <w:noProof/>
                <w:webHidden/>
              </w:rPr>
              <w:fldChar w:fldCharType="separate"/>
            </w:r>
            <w:r>
              <w:rPr>
                <w:noProof/>
                <w:webHidden/>
              </w:rPr>
              <w:t>17</w:t>
            </w:r>
            <w:r>
              <w:rPr>
                <w:noProof/>
                <w:webHidden/>
              </w:rPr>
              <w:fldChar w:fldCharType="end"/>
            </w:r>
          </w:hyperlink>
        </w:p>
        <w:p w14:paraId="5A7A14A3" w14:textId="07724FA7"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16" w:history="1">
            <w:r w:rsidRPr="00CA6875">
              <w:rPr>
                <w:rStyle w:val="Hypertextovodkaz"/>
                <w:rFonts w:ascii="Calibri" w:hAnsi="Calibri"/>
                <w:noProof/>
              </w:rPr>
              <w:t>5.1</w:t>
            </w:r>
            <w:r>
              <w:rPr>
                <w:rFonts w:eastAsiaTheme="minorEastAsia"/>
                <w:noProof/>
                <w:kern w:val="2"/>
                <w:sz w:val="24"/>
                <w:szCs w:val="24"/>
                <w:lang w:eastAsia="cs-CZ"/>
                <w14:ligatures w14:val="standardContextual"/>
              </w:rPr>
              <w:tab/>
            </w:r>
            <w:r w:rsidRPr="00CA6875">
              <w:rPr>
                <w:rStyle w:val="Hypertextovodkaz"/>
                <w:rFonts w:ascii="Calibri" w:hAnsi="Calibri"/>
                <w:noProof/>
              </w:rPr>
              <w:t>Pobytové sociální služby</w:t>
            </w:r>
            <w:r>
              <w:rPr>
                <w:noProof/>
                <w:webHidden/>
              </w:rPr>
              <w:tab/>
            </w:r>
            <w:r>
              <w:rPr>
                <w:noProof/>
                <w:webHidden/>
              </w:rPr>
              <w:fldChar w:fldCharType="begin"/>
            </w:r>
            <w:r>
              <w:rPr>
                <w:noProof/>
                <w:webHidden/>
              </w:rPr>
              <w:instrText xml:space="preserve"> PAGEREF _Toc230777916 \h </w:instrText>
            </w:r>
            <w:r>
              <w:rPr>
                <w:noProof/>
                <w:webHidden/>
              </w:rPr>
            </w:r>
            <w:r>
              <w:rPr>
                <w:noProof/>
                <w:webHidden/>
              </w:rPr>
              <w:fldChar w:fldCharType="separate"/>
            </w:r>
            <w:r>
              <w:rPr>
                <w:noProof/>
                <w:webHidden/>
              </w:rPr>
              <w:t>17</w:t>
            </w:r>
            <w:r>
              <w:rPr>
                <w:noProof/>
                <w:webHidden/>
              </w:rPr>
              <w:fldChar w:fldCharType="end"/>
            </w:r>
          </w:hyperlink>
        </w:p>
        <w:p w14:paraId="187690E7" w14:textId="3DC6C983" w:rsidR="00763D3B" w:rsidRDefault="00763D3B">
          <w:pPr>
            <w:pStyle w:val="Obsah3"/>
            <w:tabs>
              <w:tab w:val="left" w:pos="1200"/>
              <w:tab w:val="right" w:leader="dot" w:pos="9344"/>
            </w:tabs>
            <w:rPr>
              <w:rFonts w:eastAsiaTheme="minorEastAsia"/>
              <w:noProof/>
              <w:kern w:val="2"/>
              <w:sz w:val="24"/>
              <w:szCs w:val="24"/>
              <w:lang w:eastAsia="cs-CZ"/>
              <w14:ligatures w14:val="standardContextual"/>
            </w:rPr>
          </w:pPr>
          <w:hyperlink w:anchor="_Toc230777917" w:history="1">
            <w:r w:rsidRPr="00CA6875">
              <w:rPr>
                <w:rStyle w:val="Hypertextovodkaz"/>
                <w:rFonts w:ascii="Calibri" w:hAnsi="Calibri"/>
                <w:noProof/>
              </w:rPr>
              <w:t>5.1.1</w:t>
            </w:r>
            <w:r>
              <w:rPr>
                <w:rFonts w:eastAsiaTheme="minorEastAsia"/>
                <w:noProof/>
                <w:kern w:val="2"/>
                <w:sz w:val="24"/>
                <w:szCs w:val="24"/>
                <w:lang w:eastAsia="cs-CZ"/>
                <w14:ligatures w14:val="standardContextual"/>
              </w:rPr>
              <w:tab/>
            </w:r>
            <w:r w:rsidRPr="00CA6875">
              <w:rPr>
                <w:rStyle w:val="Hypertextovodkaz"/>
                <w:rFonts w:ascii="Calibri" w:hAnsi="Calibri"/>
                <w:noProof/>
              </w:rPr>
              <w:t>Obvyklé náklady pobytových sociálních služeb</w:t>
            </w:r>
            <w:r>
              <w:rPr>
                <w:noProof/>
                <w:webHidden/>
              </w:rPr>
              <w:tab/>
            </w:r>
            <w:r>
              <w:rPr>
                <w:noProof/>
                <w:webHidden/>
              </w:rPr>
              <w:fldChar w:fldCharType="begin"/>
            </w:r>
            <w:r>
              <w:rPr>
                <w:noProof/>
                <w:webHidden/>
              </w:rPr>
              <w:instrText xml:space="preserve"> PAGEREF _Toc230777917 \h </w:instrText>
            </w:r>
            <w:r>
              <w:rPr>
                <w:noProof/>
                <w:webHidden/>
              </w:rPr>
            </w:r>
            <w:r>
              <w:rPr>
                <w:noProof/>
                <w:webHidden/>
              </w:rPr>
              <w:fldChar w:fldCharType="separate"/>
            </w:r>
            <w:r>
              <w:rPr>
                <w:noProof/>
                <w:webHidden/>
              </w:rPr>
              <w:t>17</w:t>
            </w:r>
            <w:r>
              <w:rPr>
                <w:noProof/>
                <w:webHidden/>
              </w:rPr>
              <w:fldChar w:fldCharType="end"/>
            </w:r>
          </w:hyperlink>
        </w:p>
        <w:p w14:paraId="17A1AE0F" w14:textId="033A46E9" w:rsidR="00763D3B" w:rsidRDefault="00763D3B">
          <w:pPr>
            <w:pStyle w:val="Obsah3"/>
            <w:tabs>
              <w:tab w:val="left" w:pos="1200"/>
              <w:tab w:val="right" w:leader="dot" w:pos="9344"/>
            </w:tabs>
            <w:rPr>
              <w:rFonts w:eastAsiaTheme="minorEastAsia"/>
              <w:noProof/>
              <w:kern w:val="2"/>
              <w:sz w:val="24"/>
              <w:szCs w:val="24"/>
              <w:lang w:eastAsia="cs-CZ"/>
              <w14:ligatures w14:val="standardContextual"/>
            </w:rPr>
          </w:pPr>
          <w:hyperlink w:anchor="_Toc230777918" w:history="1">
            <w:r w:rsidRPr="00CA6875">
              <w:rPr>
                <w:rStyle w:val="Hypertextovodkaz"/>
                <w:rFonts w:ascii="Calibri" w:hAnsi="Calibri"/>
                <w:noProof/>
              </w:rPr>
              <w:t>5.1.2</w:t>
            </w:r>
            <w:r>
              <w:rPr>
                <w:rFonts w:eastAsiaTheme="minorEastAsia"/>
                <w:noProof/>
                <w:kern w:val="2"/>
                <w:sz w:val="24"/>
                <w:szCs w:val="24"/>
                <w:lang w:eastAsia="cs-CZ"/>
                <w14:ligatures w14:val="standardContextual"/>
              </w:rPr>
              <w:tab/>
            </w:r>
            <w:r w:rsidRPr="00CA6875">
              <w:rPr>
                <w:rStyle w:val="Hypertextovodkaz"/>
                <w:rFonts w:ascii="Calibri" w:hAnsi="Calibri"/>
                <w:noProof/>
              </w:rPr>
              <w:t>Obvyklé výnosy pobytových sociálních služeb</w:t>
            </w:r>
            <w:r>
              <w:rPr>
                <w:noProof/>
                <w:webHidden/>
              </w:rPr>
              <w:tab/>
            </w:r>
            <w:r>
              <w:rPr>
                <w:noProof/>
                <w:webHidden/>
              </w:rPr>
              <w:fldChar w:fldCharType="begin"/>
            </w:r>
            <w:r>
              <w:rPr>
                <w:noProof/>
                <w:webHidden/>
              </w:rPr>
              <w:instrText xml:space="preserve"> PAGEREF _Toc230777918 \h </w:instrText>
            </w:r>
            <w:r>
              <w:rPr>
                <w:noProof/>
                <w:webHidden/>
              </w:rPr>
            </w:r>
            <w:r>
              <w:rPr>
                <w:noProof/>
                <w:webHidden/>
              </w:rPr>
              <w:fldChar w:fldCharType="separate"/>
            </w:r>
            <w:r>
              <w:rPr>
                <w:noProof/>
                <w:webHidden/>
              </w:rPr>
              <w:t>18</w:t>
            </w:r>
            <w:r>
              <w:rPr>
                <w:noProof/>
                <w:webHidden/>
              </w:rPr>
              <w:fldChar w:fldCharType="end"/>
            </w:r>
          </w:hyperlink>
        </w:p>
        <w:p w14:paraId="309F3B82" w14:textId="5790F84B" w:rsidR="00763D3B" w:rsidRDefault="00763D3B">
          <w:pPr>
            <w:pStyle w:val="Obsah4"/>
            <w:tabs>
              <w:tab w:val="left" w:pos="1680"/>
              <w:tab w:val="right" w:leader="dot" w:pos="9344"/>
            </w:tabs>
            <w:rPr>
              <w:rFonts w:eastAsiaTheme="minorEastAsia"/>
              <w:noProof/>
              <w:kern w:val="2"/>
              <w:sz w:val="24"/>
              <w:szCs w:val="24"/>
              <w:lang w:eastAsia="cs-CZ"/>
              <w14:ligatures w14:val="standardContextual"/>
            </w:rPr>
          </w:pPr>
          <w:hyperlink w:anchor="_Toc230777919" w:history="1">
            <w:r w:rsidRPr="00CA6875">
              <w:rPr>
                <w:rStyle w:val="Hypertextovodkaz"/>
                <w:rFonts w:cstheme="minorHAnsi"/>
                <w:noProof/>
              </w:rPr>
              <w:t>5.1.2.1</w:t>
            </w:r>
            <w:r>
              <w:rPr>
                <w:rFonts w:eastAsiaTheme="minorEastAsia"/>
                <w:noProof/>
                <w:kern w:val="2"/>
                <w:sz w:val="24"/>
                <w:szCs w:val="24"/>
                <w:lang w:eastAsia="cs-CZ"/>
                <w14:ligatures w14:val="standardContextual"/>
              </w:rPr>
              <w:tab/>
            </w:r>
            <w:r w:rsidRPr="00CA6875">
              <w:rPr>
                <w:rStyle w:val="Hypertextovodkaz"/>
                <w:rFonts w:cstheme="minorHAnsi"/>
                <w:noProof/>
              </w:rPr>
              <w:t>Obvyklé výnosy pobytových služeb sociální péče</w:t>
            </w:r>
            <w:r>
              <w:rPr>
                <w:noProof/>
                <w:webHidden/>
              </w:rPr>
              <w:tab/>
            </w:r>
            <w:r>
              <w:rPr>
                <w:noProof/>
                <w:webHidden/>
              </w:rPr>
              <w:fldChar w:fldCharType="begin"/>
            </w:r>
            <w:r>
              <w:rPr>
                <w:noProof/>
                <w:webHidden/>
              </w:rPr>
              <w:instrText xml:space="preserve"> PAGEREF _Toc230777919 \h </w:instrText>
            </w:r>
            <w:r>
              <w:rPr>
                <w:noProof/>
                <w:webHidden/>
              </w:rPr>
            </w:r>
            <w:r>
              <w:rPr>
                <w:noProof/>
                <w:webHidden/>
              </w:rPr>
              <w:fldChar w:fldCharType="separate"/>
            </w:r>
            <w:r>
              <w:rPr>
                <w:noProof/>
                <w:webHidden/>
              </w:rPr>
              <w:t>18</w:t>
            </w:r>
            <w:r>
              <w:rPr>
                <w:noProof/>
                <w:webHidden/>
              </w:rPr>
              <w:fldChar w:fldCharType="end"/>
            </w:r>
          </w:hyperlink>
        </w:p>
        <w:p w14:paraId="67BABDB2" w14:textId="58CB9224" w:rsidR="00763D3B" w:rsidRDefault="00763D3B">
          <w:pPr>
            <w:pStyle w:val="Obsah4"/>
            <w:tabs>
              <w:tab w:val="left" w:pos="1680"/>
              <w:tab w:val="right" w:leader="dot" w:pos="9344"/>
            </w:tabs>
            <w:rPr>
              <w:rFonts w:eastAsiaTheme="minorEastAsia"/>
              <w:noProof/>
              <w:kern w:val="2"/>
              <w:sz w:val="24"/>
              <w:szCs w:val="24"/>
              <w:lang w:eastAsia="cs-CZ"/>
              <w14:ligatures w14:val="standardContextual"/>
            </w:rPr>
          </w:pPr>
          <w:hyperlink w:anchor="_Toc230777920" w:history="1">
            <w:r w:rsidRPr="00CA6875">
              <w:rPr>
                <w:rStyle w:val="Hypertextovodkaz"/>
                <w:rFonts w:cstheme="minorHAnsi"/>
                <w:noProof/>
              </w:rPr>
              <w:t>5.1.2.2</w:t>
            </w:r>
            <w:r>
              <w:rPr>
                <w:rFonts w:eastAsiaTheme="minorEastAsia"/>
                <w:noProof/>
                <w:kern w:val="2"/>
                <w:sz w:val="24"/>
                <w:szCs w:val="24"/>
                <w:lang w:eastAsia="cs-CZ"/>
                <w14:ligatures w14:val="standardContextual"/>
              </w:rPr>
              <w:tab/>
            </w:r>
            <w:r w:rsidRPr="00CA6875">
              <w:rPr>
                <w:rStyle w:val="Hypertextovodkaz"/>
                <w:rFonts w:cstheme="minorHAnsi"/>
                <w:noProof/>
              </w:rPr>
              <w:t>Obvyklé výnosy pobytových služeb sociální prevence</w:t>
            </w:r>
            <w:r>
              <w:rPr>
                <w:noProof/>
                <w:webHidden/>
              </w:rPr>
              <w:tab/>
            </w:r>
            <w:r>
              <w:rPr>
                <w:noProof/>
                <w:webHidden/>
              </w:rPr>
              <w:fldChar w:fldCharType="begin"/>
            </w:r>
            <w:r>
              <w:rPr>
                <w:noProof/>
                <w:webHidden/>
              </w:rPr>
              <w:instrText xml:space="preserve"> PAGEREF _Toc230777920 \h </w:instrText>
            </w:r>
            <w:r>
              <w:rPr>
                <w:noProof/>
                <w:webHidden/>
              </w:rPr>
            </w:r>
            <w:r>
              <w:rPr>
                <w:noProof/>
                <w:webHidden/>
              </w:rPr>
              <w:fldChar w:fldCharType="separate"/>
            </w:r>
            <w:r>
              <w:rPr>
                <w:noProof/>
                <w:webHidden/>
              </w:rPr>
              <w:t>20</w:t>
            </w:r>
            <w:r>
              <w:rPr>
                <w:noProof/>
                <w:webHidden/>
              </w:rPr>
              <w:fldChar w:fldCharType="end"/>
            </w:r>
          </w:hyperlink>
        </w:p>
        <w:p w14:paraId="020C3CD8" w14:textId="1A5306A0" w:rsidR="00763D3B" w:rsidRDefault="00763D3B">
          <w:pPr>
            <w:pStyle w:val="Obsah3"/>
            <w:tabs>
              <w:tab w:val="left" w:pos="1200"/>
              <w:tab w:val="right" w:leader="dot" w:pos="9344"/>
            </w:tabs>
            <w:rPr>
              <w:rFonts w:eastAsiaTheme="minorEastAsia"/>
              <w:noProof/>
              <w:kern w:val="2"/>
              <w:sz w:val="24"/>
              <w:szCs w:val="24"/>
              <w:lang w:eastAsia="cs-CZ"/>
              <w14:ligatures w14:val="standardContextual"/>
            </w:rPr>
          </w:pPr>
          <w:hyperlink w:anchor="_Toc230777921" w:history="1">
            <w:r w:rsidRPr="00CA6875">
              <w:rPr>
                <w:rStyle w:val="Hypertextovodkaz"/>
                <w:rFonts w:ascii="Calibri" w:hAnsi="Calibri"/>
                <w:noProof/>
              </w:rPr>
              <w:t>5.1.3</w:t>
            </w:r>
            <w:r>
              <w:rPr>
                <w:rFonts w:eastAsiaTheme="minorEastAsia"/>
                <w:noProof/>
                <w:kern w:val="2"/>
                <w:sz w:val="24"/>
                <w:szCs w:val="24"/>
                <w:lang w:eastAsia="cs-CZ"/>
                <w14:ligatures w14:val="standardContextual"/>
              </w:rPr>
              <w:tab/>
            </w:r>
            <w:r w:rsidRPr="00CA6875">
              <w:rPr>
                <w:rStyle w:val="Hypertextovodkaz"/>
                <w:rFonts w:ascii="Calibri" w:hAnsi="Calibri"/>
                <w:noProof/>
              </w:rPr>
              <w:t>Stanovení vyrovnávací platby pobytových sociálních služeb</w:t>
            </w:r>
            <w:r>
              <w:rPr>
                <w:noProof/>
                <w:webHidden/>
              </w:rPr>
              <w:tab/>
            </w:r>
            <w:r>
              <w:rPr>
                <w:noProof/>
                <w:webHidden/>
              </w:rPr>
              <w:fldChar w:fldCharType="begin"/>
            </w:r>
            <w:r>
              <w:rPr>
                <w:noProof/>
                <w:webHidden/>
              </w:rPr>
              <w:instrText xml:space="preserve"> PAGEREF _Toc230777921 \h </w:instrText>
            </w:r>
            <w:r>
              <w:rPr>
                <w:noProof/>
                <w:webHidden/>
              </w:rPr>
            </w:r>
            <w:r>
              <w:rPr>
                <w:noProof/>
                <w:webHidden/>
              </w:rPr>
              <w:fldChar w:fldCharType="separate"/>
            </w:r>
            <w:r>
              <w:rPr>
                <w:noProof/>
                <w:webHidden/>
              </w:rPr>
              <w:t>22</w:t>
            </w:r>
            <w:r>
              <w:rPr>
                <w:noProof/>
                <w:webHidden/>
              </w:rPr>
              <w:fldChar w:fldCharType="end"/>
            </w:r>
          </w:hyperlink>
        </w:p>
        <w:p w14:paraId="2A86E284" w14:textId="5E1802B2"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22" w:history="1">
            <w:r w:rsidRPr="00CA6875">
              <w:rPr>
                <w:rStyle w:val="Hypertextovodkaz"/>
                <w:rFonts w:ascii="Calibri" w:hAnsi="Calibri"/>
                <w:noProof/>
              </w:rPr>
              <w:t>5.2</w:t>
            </w:r>
            <w:r>
              <w:rPr>
                <w:rFonts w:eastAsiaTheme="minorEastAsia"/>
                <w:noProof/>
                <w:kern w:val="2"/>
                <w:sz w:val="24"/>
                <w:szCs w:val="24"/>
                <w:lang w:eastAsia="cs-CZ"/>
                <w14:ligatures w14:val="standardContextual"/>
              </w:rPr>
              <w:tab/>
            </w:r>
            <w:r w:rsidRPr="00CA6875">
              <w:rPr>
                <w:rStyle w:val="Hypertextovodkaz"/>
                <w:rFonts w:ascii="Calibri" w:hAnsi="Calibri"/>
                <w:noProof/>
              </w:rPr>
              <w:t>Ambulantní a terénní sociální služby</w:t>
            </w:r>
            <w:r>
              <w:rPr>
                <w:noProof/>
                <w:webHidden/>
              </w:rPr>
              <w:tab/>
            </w:r>
            <w:r>
              <w:rPr>
                <w:noProof/>
                <w:webHidden/>
              </w:rPr>
              <w:fldChar w:fldCharType="begin"/>
            </w:r>
            <w:r>
              <w:rPr>
                <w:noProof/>
                <w:webHidden/>
              </w:rPr>
              <w:instrText xml:space="preserve"> PAGEREF _Toc230777922 \h </w:instrText>
            </w:r>
            <w:r>
              <w:rPr>
                <w:noProof/>
                <w:webHidden/>
              </w:rPr>
            </w:r>
            <w:r>
              <w:rPr>
                <w:noProof/>
                <w:webHidden/>
              </w:rPr>
              <w:fldChar w:fldCharType="separate"/>
            </w:r>
            <w:r>
              <w:rPr>
                <w:noProof/>
                <w:webHidden/>
              </w:rPr>
              <w:t>24</w:t>
            </w:r>
            <w:r>
              <w:rPr>
                <w:noProof/>
                <w:webHidden/>
              </w:rPr>
              <w:fldChar w:fldCharType="end"/>
            </w:r>
          </w:hyperlink>
        </w:p>
        <w:p w14:paraId="13ACB6B4" w14:textId="71B5C3E0" w:rsidR="00763D3B" w:rsidRDefault="00763D3B">
          <w:pPr>
            <w:pStyle w:val="Obsah3"/>
            <w:tabs>
              <w:tab w:val="left" w:pos="1200"/>
              <w:tab w:val="right" w:leader="dot" w:pos="9344"/>
            </w:tabs>
            <w:rPr>
              <w:rFonts w:eastAsiaTheme="minorEastAsia"/>
              <w:noProof/>
              <w:kern w:val="2"/>
              <w:sz w:val="24"/>
              <w:szCs w:val="24"/>
              <w:lang w:eastAsia="cs-CZ"/>
              <w14:ligatures w14:val="standardContextual"/>
            </w:rPr>
          </w:pPr>
          <w:hyperlink w:anchor="_Toc230777923" w:history="1">
            <w:r w:rsidRPr="00CA6875">
              <w:rPr>
                <w:rStyle w:val="Hypertextovodkaz"/>
                <w:rFonts w:ascii="Calibri" w:hAnsi="Calibri"/>
                <w:noProof/>
              </w:rPr>
              <w:t>5.2.1</w:t>
            </w:r>
            <w:r>
              <w:rPr>
                <w:rFonts w:eastAsiaTheme="minorEastAsia"/>
                <w:noProof/>
                <w:kern w:val="2"/>
                <w:sz w:val="24"/>
                <w:szCs w:val="24"/>
                <w:lang w:eastAsia="cs-CZ"/>
                <w14:ligatures w14:val="standardContextual"/>
              </w:rPr>
              <w:tab/>
            </w:r>
            <w:r w:rsidRPr="00CA6875">
              <w:rPr>
                <w:rStyle w:val="Hypertextovodkaz"/>
                <w:rFonts w:ascii="Calibri" w:hAnsi="Calibri"/>
                <w:noProof/>
              </w:rPr>
              <w:t>Obvyklé náklady ambulantních a terénních sociálních služeb</w:t>
            </w:r>
            <w:r>
              <w:rPr>
                <w:noProof/>
                <w:webHidden/>
              </w:rPr>
              <w:tab/>
            </w:r>
            <w:r>
              <w:rPr>
                <w:noProof/>
                <w:webHidden/>
              </w:rPr>
              <w:fldChar w:fldCharType="begin"/>
            </w:r>
            <w:r>
              <w:rPr>
                <w:noProof/>
                <w:webHidden/>
              </w:rPr>
              <w:instrText xml:space="preserve"> PAGEREF _Toc230777923 \h </w:instrText>
            </w:r>
            <w:r>
              <w:rPr>
                <w:noProof/>
                <w:webHidden/>
              </w:rPr>
            </w:r>
            <w:r>
              <w:rPr>
                <w:noProof/>
                <w:webHidden/>
              </w:rPr>
              <w:fldChar w:fldCharType="separate"/>
            </w:r>
            <w:r>
              <w:rPr>
                <w:noProof/>
                <w:webHidden/>
              </w:rPr>
              <w:t>26</w:t>
            </w:r>
            <w:r>
              <w:rPr>
                <w:noProof/>
                <w:webHidden/>
              </w:rPr>
              <w:fldChar w:fldCharType="end"/>
            </w:r>
          </w:hyperlink>
        </w:p>
        <w:p w14:paraId="63E9CC37" w14:textId="55A63C89" w:rsidR="00763D3B" w:rsidRDefault="00763D3B">
          <w:pPr>
            <w:pStyle w:val="Obsah3"/>
            <w:tabs>
              <w:tab w:val="left" w:pos="1200"/>
              <w:tab w:val="right" w:leader="dot" w:pos="9344"/>
            </w:tabs>
            <w:rPr>
              <w:rFonts w:eastAsiaTheme="minorEastAsia"/>
              <w:noProof/>
              <w:kern w:val="2"/>
              <w:sz w:val="24"/>
              <w:szCs w:val="24"/>
              <w:lang w:eastAsia="cs-CZ"/>
              <w14:ligatures w14:val="standardContextual"/>
            </w:rPr>
          </w:pPr>
          <w:hyperlink w:anchor="_Toc230777924" w:history="1">
            <w:r w:rsidRPr="00CA6875">
              <w:rPr>
                <w:rStyle w:val="Hypertextovodkaz"/>
                <w:rFonts w:ascii="Calibri" w:hAnsi="Calibri"/>
                <w:noProof/>
              </w:rPr>
              <w:t>5.2.2</w:t>
            </w:r>
            <w:r>
              <w:rPr>
                <w:rFonts w:eastAsiaTheme="minorEastAsia"/>
                <w:noProof/>
                <w:kern w:val="2"/>
                <w:sz w:val="24"/>
                <w:szCs w:val="24"/>
                <w:lang w:eastAsia="cs-CZ"/>
                <w14:ligatures w14:val="standardContextual"/>
              </w:rPr>
              <w:tab/>
            </w:r>
            <w:r w:rsidRPr="00CA6875">
              <w:rPr>
                <w:rStyle w:val="Hypertextovodkaz"/>
                <w:rFonts w:ascii="Calibri" w:hAnsi="Calibri"/>
                <w:noProof/>
              </w:rPr>
              <w:t>Obvyklé výnosy ambulantních a terénních sociálních služeb</w:t>
            </w:r>
            <w:r>
              <w:rPr>
                <w:noProof/>
                <w:webHidden/>
              </w:rPr>
              <w:tab/>
            </w:r>
            <w:r>
              <w:rPr>
                <w:noProof/>
                <w:webHidden/>
              </w:rPr>
              <w:fldChar w:fldCharType="begin"/>
            </w:r>
            <w:r>
              <w:rPr>
                <w:noProof/>
                <w:webHidden/>
              </w:rPr>
              <w:instrText xml:space="preserve"> PAGEREF _Toc230777924 \h </w:instrText>
            </w:r>
            <w:r>
              <w:rPr>
                <w:noProof/>
                <w:webHidden/>
              </w:rPr>
            </w:r>
            <w:r>
              <w:rPr>
                <w:noProof/>
                <w:webHidden/>
              </w:rPr>
              <w:fldChar w:fldCharType="separate"/>
            </w:r>
            <w:r>
              <w:rPr>
                <w:noProof/>
                <w:webHidden/>
              </w:rPr>
              <w:t>26</w:t>
            </w:r>
            <w:r>
              <w:rPr>
                <w:noProof/>
                <w:webHidden/>
              </w:rPr>
              <w:fldChar w:fldCharType="end"/>
            </w:r>
          </w:hyperlink>
        </w:p>
        <w:p w14:paraId="1B4C35FF" w14:textId="29B4DD40" w:rsidR="00763D3B" w:rsidRDefault="00763D3B">
          <w:pPr>
            <w:pStyle w:val="Obsah4"/>
            <w:tabs>
              <w:tab w:val="left" w:pos="1680"/>
              <w:tab w:val="right" w:leader="dot" w:pos="9344"/>
            </w:tabs>
            <w:rPr>
              <w:rFonts w:eastAsiaTheme="minorEastAsia"/>
              <w:noProof/>
              <w:kern w:val="2"/>
              <w:sz w:val="24"/>
              <w:szCs w:val="24"/>
              <w:lang w:eastAsia="cs-CZ"/>
              <w14:ligatures w14:val="standardContextual"/>
            </w:rPr>
          </w:pPr>
          <w:hyperlink w:anchor="_Toc230777925" w:history="1">
            <w:r w:rsidRPr="00CA6875">
              <w:rPr>
                <w:rStyle w:val="Hypertextovodkaz"/>
                <w:rFonts w:cstheme="minorHAnsi"/>
                <w:noProof/>
              </w:rPr>
              <w:t>5.2.2.1</w:t>
            </w:r>
            <w:r>
              <w:rPr>
                <w:rFonts w:eastAsiaTheme="minorEastAsia"/>
                <w:noProof/>
                <w:kern w:val="2"/>
                <w:sz w:val="24"/>
                <w:szCs w:val="24"/>
                <w:lang w:eastAsia="cs-CZ"/>
                <w14:ligatures w14:val="standardContextual"/>
              </w:rPr>
              <w:tab/>
            </w:r>
            <w:r w:rsidRPr="00CA6875">
              <w:rPr>
                <w:rStyle w:val="Hypertextovodkaz"/>
                <w:rFonts w:cstheme="minorHAnsi"/>
                <w:noProof/>
              </w:rPr>
              <w:t>Obvyklé výnosy ambulantních služeb sociální péče</w:t>
            </w:r>
            <w:r>
              <w:rPr>
                <w:noProof/>
                <w:webHidden/>
              </w:rPr>
              <w:tab/>
            </w:r>
            <w:r>
              <w:rPr>
                <w:noProof/>
                <w:webHidden/>
              </w:rPr>
              <w:fldChar w:fldCharType="begin"/>
            </w:r>
            <w:r>
              <w:rPr>
                <w:noProof/>
                <w:webHidden/>
              </w:rPr>
              <w:instrText xml:space="preserve"> PAGEREF _Toc230777925 \h </w:instrText>
            </w:r>
            <w:r>
              <w:rPr>
                <w:noProof/>
                <w:webHidden/>
              </w:rPr>
            </w:r>
            <w:r>
              <w:rPr>
                <w:noProof/>
                <w:webHidden/>
              </w:rPr>
              <w:fldChar w:fldCharType="separate"/>
            </w:r>
            <w:r>
              <w:rPr>
                <w:noProof/>
                <w:webHidden/>
              </w:rPr>
              <w:t>26</w:t>
            </w:r>
            <w:r>
              <w:rPr>
                <w:noProof/>
                <w:webHidden/>
              </w:rPr>
              <w:fldChar w:fldCharType="end"/>
            </w:r>
          </w:hyperlink>
        </w:p>
        <w:p w14:paraId="55C02D36" w14:textId="6C0325BF" w:rsidR="00763D3B" w:rsidRDefault="00763D3B">
          <w:pPr>
            <w:pStyle w:val="Obsah4"/>
            <w:tabs>
              <w:tab w:val="left" w:pos="1680"/>
              <w:tab w:val="right" w:leader="dot" w:pos="9344"/>
            </w:tabs>
            <w:rPr>
              <w:rFonts w:eastAsiaTheme="minorEastAsia"/>
              <w:noProof/>
              <w:kern w:val="2"/>
              <w:sz w:val="24"/>
              <w:szCs w:val="24"/>
              <w:lang w:eastAsia="cs-CZ"/>
              <w14:ligatures w14:val="standardContextual"/>
            </w:rPr>
          </w:pPr>
          <w:hyperlink w:anchor="_Toc230777926" w:history="1">
            <w:r w:rsidRPr="00CA6875">
              <w:rPr>
                <w:rStyle w:val="Hypertextovodkaz"/>
                <w:rFonts w:cstheme="minorHAnsi"/>
                <w:noProof/>
              </w:rPr>
              <w:t>5.2.2.2</w:t>
            </w:r>
            <w:r>
              <w:rPr>
                <w:rFonts w:eastAsiaTheme="minorEastAsia"/>
                <w:noProof/>
                <w:kern w:val="2"/>
                <w:sz w:val="24"/>
                <w:szCs w:val="24"/>
                <w:lang w:eastAsia="cs-CZ"/>
                <w14:ligatures w14:val="standardContextual"/>
              </w:rPr>
              <w:tab/>
            </w:r>
            <w:r w:rsidRPr="00CA6875">
              <w:rPr>
                <w:rStyle w:val="Hypertextovodkaz"/>
                <w:rFonts w:cstheme="minorHAnsi"/>
                <w:noProof/>
              </w:rPr>
              <w:t>Obvyklé výnosy terénních služeb sociální péče</w:t>
            </w:r>
            <w:r>
              <w:rPr>
                <w:noProof/>
                <w:webHidden/>
              </w:rPr>
              <w:tab/>
            </w:r>
            <w:r>
              <w:rPr>
                <w:noProof/>
                <w:webHidden/>
              </w:rPr>
              <w:fldChar w:fldCharType="begin"/>
            </w:r>
            <w:r>
              <w:rPr>
                <w:noProof/>
                <w:webHidden/>
              </w:rPr>
              <w:instrText xml:space="preserve"> PAGEREF _Toc230777926 \h </w:instrText>
            </w:r>
            <w:r>
              <w:rPr>
                <w:noProof/>
                <w:webHidden/>
              </w:rPr>
            </w:r>
            <w:r>
              <w:rPr>
                <w:noProof/>
                <w:webHidden/>
              </w:rPr>
              <w:fldChar w:fldCharType="separate"/>
            </w:r>
            <w:r>
              <w:rPr>
                <w:noProof/>
                <w:webHidden/>
              </w:rPr>
              <w:t>27</w:t>
            </w:r>
            <w:r>
              <w:rPr>
                <w:noProof/>
                <w:webHidden/>
              </w:rPr>
              <w:fldChar w:fldCharType="end"/>
            </w:r>
          </w:hyperlink>
        </w:p>
        <w:p w14:paraId="48934596" w14:textId="60803B3A" w:rsidR="00763D3B" w:rsidRDefault="00763D3B">
          <w:pPr>
            <w:pStyle w:val="Obsah4"/>
            <w:tabs>
              <w:tab w:val="left" w:pos="1680"/>
              <w:tab w:val="right" w:leader="dot" w:pos="9344"/>
            </w:tabs>
            <w:rPr>
              <w:rFonts w:eastAsiaTheme="minorEastAsia"/>
              <w:noProof/>
              <w:kern w:val="2"/>
              <w:sz w:val="24"/>
              <w:szCs w:val="24"/>
              <w:lang w:eastAsia="cs-CZ"/>
              <w14:ligatures w14:val="standardContextual"/>
            </w:rPr>
          </w:pPr>
          <w:hyperlink w:anchor="_Toc230777927" w:history="1">
            <w:r w:rsidRPr="00CA6875">
              <w:rPr>
                <w:rStyle w:val="Hypertextovodkaz"/>
                <w:rFonts w:cstheme="minorHAnsi"/>
                <w:noProof/>
              </w:rPr>
              <w:t>5.2.2.3</w:t>
            </w:r>
            <w:r>
              <w:rPr>
                <w:rFonts w:eastAsiaTheme="minorEastAsia"/>
                <w:noProof/>
                <w:kern w:val="2"/>
                <w:sz w:val="24"/>
                <w:szCs w:val="24"/>
                <w:lang w:eastAsia="cs-CZ"/>
                <w14:ligatures w14:val="standardContextual"/>
              </w:rPr>
              <w:tab/>
            </w:r>
            <w:r w:rsidRPr="00CA6875">
              <w:rPr>
                <w:rStyle w:val="Hypertextovodkaz"/>
                <w:rFonts w:cstheme="minorHAnsi"/>
                <w:noProof/>
              </w:rPr>
              <w:t>Obvyklé výnosy ambulantních a terénních služeb sociální prevence</w:t>
            </w:r>
            <w:r>
              <w:rPr>
                <w:noProof/>
                <w:webHidden/>
              </w:rPr>
              <w:tab/>
            </w:r>
            <w:r>
              <w:rPr>
                <w:noProof/>
                <w:webHidden/>
              </w:rPr>
              <w:fldChar w:fldCharType="begin"/>
            </w:r>
            <w:r>
              <w:rPr>
                <w:noProof/>
                <w:webHidden/>
              </w:rPr>
              <w:instrText xml:space="preserve"> PAGEREF _Toc230777927 \h </w:instrText>
            </w:r>
            <w:r>
              <w:rPr>
                <w:noProof/>
                <w:webHidden/>
              </w:rPr>
            </w:r>
            <w:r>
              <w:rPr>
                <w:noProof/>
                <w:webHidden/>
              </w:rPr>
              <w:fldChar w:fldCharType="separate"/>
            </w:r>
            <w:r>
              <w:rPr>
                <w:noProof/>
                <w:webHidden/>
              </w:rPr>
              <w:t>29</w:t>
            </w:r>
            <w:r>
              <w:rPr>
                <w:noProof/>
                <w:webHidden/>
              </w:rPr>
              <w:fldChar w:fldCharType="end"/>
            </w:r>
          </w:hyperlink>
        </w:p>
        <w:p w14:paraId="54E16495" w14:textId="1CA4AFD3" w:rsidR="00763D3B" w:rsidRDefault="00763D3B">
          <w:pPr>
            <w:pStyle w:val="Obsah4"/>
            <w:tabs>
              <w:tab w:val="left" w:pos="1680"/>
              <w:tab w:val="right" w:leader="dot" w:pos="9344"/>
            </w:tabs>
            <w:rPr>
              <w:rFonts w:eastAsiaTheme="minorEastAsia"/>
              <w:noProof/>
              <w:kern w:val="2"/>
              <w:sz w:val="24"/>
              <w:szCs w:val="24"/>
              <w:lang w:eastAsia="cs-CZ"/>
              <w14:ligatures w14:val="standardContextual"/>
            </w:rPr>
          </w:pPr>
          <w:hyperlink w:anchor="_Toc230777928" w:history="1">
            <w:r w:rsidRPr="00CA6875">
              <w:rPr>
                <w:rStyle w:val="Hypertextovodkaz"/>
                <w:rFonts w:cstheme="minorHAnsi"/>
                <w:noProof/>
              </w:rPr>
              <w:t>5.2.2.4</w:t>
            </w:r>
            <w:r>
              <w:rPr>
                <w:rFonts w:eastAsiaTheme="minorEastAsia"/>
                <w:noProof/>
                <w:kern w:val="2"/>
                <w:sz w:val="24"/>
                <w:szCs w:val="24"/>
                <w:lang w:eastAsia="cs-CZ"/>
                <w14:ligatures w14:val="standardContextual"/>
              </w:rPr>
              <w:tab/>
            </w:r>
            <w:r w:rsidRPr="00CA6875">
              <w:rPr>
                <w:rStyle w:val="Hypertextovodkaz"/>
                <w:rFonts w:cstheme="minorHAnsi"/>
                <w:noProof/>
              </w:rPr>
              <w:t>Obvyklé výnosy ambulantních a terénních služeb sociálního poradenství</w:t>
            </w:r>
            <w:r>
              <w:rPr>
                <w:noProof/>
                <w:webHidden/>
              </w:rPr>
              <w:tab/>
            </w:r>
            <w:r>
              <w:rPr>
                <w:noProof/>
                <w:webHidden/>
              </w:rPr>
              <w:fldChar w:fldCharType="begin"/>
            </w:r>
            <w:r>
              <w:rPr>
                <w:noProof/>
                <w:webHidden/>
              </w:rPr>
              <w:instrText xml:space="preserve"> PAGEREF _Toc230777928 \h </w:instrText>
            </w:r>
            <w:r>
              <w:rPr>
                <w:noProof/>
                <w:webHidden/>
              </w:rPr>
            </w:r>
            <w:r>
              <w:rPr>
                <w:noProof/>
                <w:webHidden/>
              </w:rPr>
              <w:fldChar w:fldCharType="separate"/>
            </w:r>
            <w:r>
              <w:rPr>
                <w:noProof/>
                <w:webHidden/>
              </w:rPr>
              <w:t>29</w:t>
            </w:r>
            <w:r>
              <w:rPr>
                <w:noProof/>
                <w:webHidden/>
              </w:rPr>
              <w:fldChar w:fldCharType="end"/>
            </w:r>
          </w:hyperlink>
        </w:p>
        <w:p w14:paraId="65DC80D8" w14:textId="32CC49AB" w:rsidR="00763D3B" w:rsidRDefault="00763D3B">
          <w:pPr>
            <w:pStyle w:val="Obsah3"/>
            <w:tabs>
              <w:tab w:val="left" w:pos="1200"/>
              <w:tab w:val="right" w:leader="dot" w:pos="9344"/>
            </w:tabs>
            <w:rPr>
              <w:rFonts w:eastAsiaTheme="minorEastAsia"/>
              <w:noProof/>
              <w:kern w:val="2"/>
              <w:sz w:val="24"/>
              <w:szCs w:val="24"/>
              <w:lang w:eastAsia="cs-CZ"/>
              <w14:ligatures w14:val="standardContextual"/>
            </w:rPr>
          </w:pPr>
          <w:hyperlink w:anchor="_Toc230777929" w:history="1">
            <w:r w:rsidRPr="00CA6875">
              <w:rPr>
                <w:rStyle w:val="Hypertextovodkaz"/>
                <w:rFonts w:ascii="Calibri" w:hAnsi="Calibri"/>
                <w:noProof/>
              </w:rPr>
              <w:t>5.2.3</w:t>
            </w:r>
            <w:r>
              <w:rPr>
                <w:rFonts w:eastAsiaTheme="minorEastAsia"/>
                <w:noProof/>
                <w:kern w:val="2"/>
                <w:sz w:val="24"/>
                <w:szCs w:val="24"/>
                <w:lang w:eastAsia="cs-CZ"/>
                <w14:ligatures w14:val="standardContextual"/>
              </w:rPr>
              <w:tab/>
            </w:r>
            <w:r w:rsidRPr="00CA6875">
              <w:rPr>
                <w:rStyle w:val="Hypertextovodkaz"/>
                <w:rFonts w:ascii="Calibri" w:hAnsi="Calibri"/>
                <w:noProof/>
              </w:rPr>
              <w:t>Stanovení vyrovnávací platby ambulantních a terénních sociálních služeb</w:t>
            </w:r>
            <w:r>
              <w:rPr>
                <w:noProof/>
                <w:webHidden/>
              </w:rPr>
              <w:tab/>
            </w:r>
            <w:r>
              <w:rPr>
                <w:noProof/>
                <w:webHidden/>
              </w:rPr>
              <w:fldChar w:fldCharType="begin"/>
            </w:r>
            <w:r>
              <w:rPr>
                <w:noProof/>
                <w:webHidden/>
              </w:rPr>
              <w:instrText xml:space="preserve"> PAGEREF _Toc230777929 \h </w:instrText>
            </w:r>
            <w:r>
              <w:rPr>
                <w:noProof/>
                <w:webHidden/>
              </w:rPr>
            </w:r>
            <w:r>
              <w:rPr>
                <w:noProof/>
                <w:webHidden/>
              </w:rPr>
              <w:fldChar w:fldCharType="separate"/>
            </w:r>
            <w:r>
              <w:rPr>
                <w:noProof/>
                <w:webHidden/>
              </w:rPr>
              <w:t>30</w:t>
            </w:r>
            <w:r>
              <w:rPr>
                <w:noProof/>
                <w:webHidden/>
              </w:rPr>
              <w:fldChar w:fldCharType="end"/>
            </w:r>
          </w:hyperlink>
        </w:p>
        <w:p w14:paraId="5747BAB4" w14:textId="589CFE59" w:rsidR="00763D3B" w:rsidRDefault="00763D3B" w:rsidP="00900B80">
          <w:pPr>
            <w:pStyle w:val="Obsah1"/>
            <w:rPr>
              <w:rFonts w:eastAsiaTheme="minorEastAsia"/>
              <w:noProof/>
              <w:kern w:val="2"/>
              <w:sz w:val="24"/>
              <w:szCs w:val="24"/>
              <w:lang w:eastAsia="cs-CZ"/>
              <w14:ligatures w14:val="standardContextual"/>
            </w:rPr>
          </w:pPr>
          <w:hyperlink w:anchor="_Toc230777930" w:history="1">
            <w:r w:rsidRPr="00CA6875">
              <w:rPr>
                <w:rStyle w:val="Hypertextovodkaz"/>
                <w:noProof/>
              </w:rPr>
              <w:t>6</w:t>
            </w:r>
            <w:r>
              <w:rPr>
                <w:rFonts w:eastAsiaTheme="minorEastAsia"/>
                <w:noProof/>
                <w:kern w:val="2"/>
                <w:sz w:val="24"/>
                <w:szCs w:val="24"/>
                <w:lang w:eastAsia="cs-CZ"/>
                <w14:ligatures w14:val="standardContextual"/>
              </w:rPr>
              <w:tab/>
            </w:r>
            <w:r w:rsidRPr="00CA6875">
              <w:rPr>
                <w:rStyle w:val="Hypertextovodkaz"/>
                <w:noProof/>
              </w:rPr>
              <w:t>Mechanismy stanovení výše vyrovnávací platby</w:t>
            </w:r>
            <w:r>
              <w:rPr>
                <w:noProof/>
                <w:webHidden/>
              </w:rPr>
              <w:tab/>
            </w:r>
            <w:r>
              <w:rPr>
                <w:noProof/>
                <w:webHidden/>
              </w:rPr>
              <w:fldChar w:fldCharType="begin"/>
            </w:r>
            <w:r>
              <w:rPr>
                <w:noProof/>
                <w:webHidden/>
              </w:rPr>
              <w:instrText xml:space="preserve"> PAGEREF _Toc230777930 \h </w:instrText>
            </w:r>
            <w:r>
              <w:rPr>
                <w:noProof/>
                <w:webHidden/>
              </w:rPr>
            </w:r>
            <w:r>
              <w:rPr>
                <w:noProof/>
                <w:webHidden/>
              </w:rPr>
              <w:fldChar w:fldCharType="separate"/>
            </w:r>
            <w:r>
              <w:rPr>
                <w:noProof/>
                <w:webHidden/>
              </w:rPr>
              <w:t>32</w:t>
            </w:r>
            <w:r>
              <w:rPr>
                <w:noProof/>
                <w:webHidden/>
              </w:rPr>
              <w:fldChar w:fldCharType="end"/>
            </w:r>
          </w:hyperlink>
        </w:p>
        <w:p w14:paraId="75D27C3B" w14:textId="57A7D7CE"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31" w:history="1">
            <w:r w:rsidRPr="00CA6875">
              <w:rPr>
                <w:rStyle w:val="Hypertextovodkaz"/>
                <w:rFonts w:ascii="Calibri" w:hAnsi="Calibri"/>
                <w:noProof/>
              </w:rPr>
              <w:t>6.1</w:t>
            </w:r>
            <w:r>
              <w:rPr>
                <w:rFonts w:eastAsiaTheme="minorEastAsia"/>
                <w:noProof/>
                <w:kern w:val="2"/>
                <w:sz w:val="24"/>
                <w:szCs w:val="24"/>
                <w:lang w:eastAsia="cs-CZ"/>
                <w14:ligatures w14:val="standardContextual"/>
              </w:rPr>
              <w:tab/>
            </w:r>
            <w:r w:rsidRPr="00CA6875">
              <w:rPr>
                <w:rStyle w:val="Hypertextovodkaz"/>
                <w:rFonts w:ascii="Calibri" w:hAnsi="Calibri"/>
                <w:noProof/>
              </w:rPr>
              <w:t>Redukční mechanismy</w:t>
            </w:r>
            <w:r>
              <w:rPr>
                <w:noProof/>
                <w:webHidden/>
              </w:rPr>
              <w:tab/>
            </w:r>
            <w:r>
              <w:rPr>
                <w:noProof/>
                <w:webHidden/>
              </w:rPr>
              <w:fldChar w:fldCharType="begin"/>
            </w:r>
            <w:r>
              <w:rPr>
                <w:noProof/>
                <w:webHidden/>
              </w:rPr>
              <w:instrText xml:space="preserve"> PAGEREF _Toc230777931 \h </w:instrText>
            </w:r>
            <w:r>
              <w:rPr>
                <w:noProof/>
                <w:webHidden/>
              </w:rPr>
            </w:r>
            <w:r>
              <w:rPr>
                <w:noProof/>
                <w:webHidden/>
              </w:rPr>
              <w:fldChar w:fldCharType="separate"/>
            </w:r>
            <w:r>
              <w:rPr>
                <w:noProof/>
                <w:webHidden/>
              </w:rPr>
              <w:t>32</w:t>
            </w:r>
            <w:r>
              <w:rPr>
                <w:noProof/>
                <w:webHidden/>
              </w:rPr>
              <w:fldChar w:fldCharType="end"/>
            </w:r>
          </w:hyperlink>
        </w:p>
        <w:p w14:paraId="26F4D267" w14:textId="1E3FD57C"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32" w:history="1">
            <w:r w:rsidRPr="00CA6875">
              <w:rPr>
                <w:rStyle w:val="Hypertextovodkaz"/>
                <w:rFonts w:ascii="Calibri" w:hAnsi="Calibri"/>
                <w:noProof/>
              </w:rPr>
              <w:t>6.2</w:t>
            </w:r>
            <w:r>
              <w:rPr>
                <w:rFonts w:eastAsiaTheme="minorEastAsia"/>
                <w:noProof/>
                <w:kern w:val="2"/>
                <w:sz w:val="24"/>
                <w:szCs w:val="24"/>
                <w:lang w:eastAsia="cs-CZ"/>
                <w14:ligatures w14:val="standardContextual"/>
              </w:rPr>
              <w:tab/>
            </w:r>
            <w:r w:rsidRPr="00CA6875">
              <w:rPr>
                <w:rStyle w:val="Hypertextovodkaz"/>
                <w:rFonts w:ascii="Calibri" w:hAnsi="Calibri"/>
                <w:noProof/>
              </w:rPr>
              <w:t>Bonifikace finanční podpory /malus pro sociální služby</w:t>
            </w:r>
            <w:r>
              <w:rPr>
                <w:noProof/>
                <w:webHidden/>
              </w:rPr>
              <w:tab/>
            </w:r>
            <w:r>
              <w:rPr>
                <w:noProof/>
                <w:webHidden/>
              </w:rPr>
              <w:fldChar w:fldCharType="begin"/>
            </w:r>
            <w:r>
              <w:rPr>
                <w:noProof/>
                <w:webHidden/>
              </w:rPr>
              <w:instrText xml:space="preserve"> PAGEREF _Toc230777932 \h </w:instrText>
            </w:r>
            <w:r>
              <w:rPr>
                <w:noProof/>
                <w:webHidden/>
              </w:rPr>
            </w:r>
            <w:r>
              <w:rPr>
                <w:noProof/>
                <w:webHidden/>
              </w:rPr>
              <w:fldChar w:fldCharType="separate"/>
            </w:r>
            <w:r>
              <w:rPr>
                <w:noProof/>
                <w:webHidden/>
              </w:rPr>
              <w:t>33</w:t>
            </w:r>
            <w:r>
              <w:rPr>
                <w:noProof/>
                <w:webHidden/>
              </w:rPr>
              <w:fldChar w:fldCharType="end"/>
            </w:r>
          </w:hyperlink>
        </w:p>
        <w:p w14:paraId="193893B6" w14:textId="69645F1F" w:rsidR="00763D3B" w:rsidRDefault="00763D3B" w:rsidP="00900B80">
          <w:pPr>
            <w:pStyle w:val="Obsah1"/>
            <w:rPr>
              <w:rFonts w:eastAsiaTheme="minorEastAsia"/>
              <w:noProof/>
              <w:kern w:val="2"/>
              <w:sz w:val="24"/>
              <w:szCs w:val="24"/>
              <w:lang w:eastAsia="cs-CZ"/>
              <w14:ligatures w14:val="standardContextual"/>
            </w:rPr>
          </w:pPr>
          <w:hyperlink w:anchor="_Toc230777933" w:history="1">
            <w:r w:rsidRPr="00CA6875">
              <w:rPr>
                <w:rStyle w:val="Hypertextovodkaz"/>
                <w:noProof/>
              </w:rPr>
              <w:t>7</w:t>
            </w:r>
            <w:r>
              <w:rPr>
                <w:rFonts w:eastAsiaTheme="minorEastAsia"/>
                <w:noProof/>
                <w:kern w:val="2"/>
                <w:sz w:val="24"/>
                <w:szCs w:val="24"/>
                <w:lang w:eastAsia="cs-CZ"/>
                <w14:ligatures w14:val="standardContextual"/>
              </w:rPr>
              <w:tab/>
            </w:r>
            <w:r w:rsidRPr="00CA6875">
              <w:rPr>
                <w:rStyle w:val="Hypertextovodkaz"/>
                <w:noProof/>
              </w:rPr>
              <w:t>Pověřovací akt</w:t>
            </w:r>
            <w:r>
              <w:rPr>
                <w:noProof/>
                <w:webHidden/>
              </w:rPr>
              <w:tab/>
            </w:r>
            <w:r>
              <w:rPr>
                <w:noProof/>
                <w:webHidden/>
              </w:rPr>
              <w:fldChar w:fldCharType="begin"/>
            </w:r>
            <w:r>
              <w:rPr>
                <w:noProof/>
                <w:webHidden/>
              </w:rPr>
              <w:instrText xml:space="preserve"> PAGEREF _Toc230777933 \h </w:instrText>
            </w:r>
            <w:r>
              <w:rPr>
                <w:noProof/>
                <w:webHidden/>
              </w:rPr>
            </w:r>
            <w:r>
              <w:rPr>
                <w:noProof/>
                <w:webHidden/>
              </w:rPr>
              <w:fldChar w:fldCharType="separate"/>
            </w:r>
            <w:r>
              <w:rPr>
                <w:noProof/>
                <w:webHidden/>
              </w:rPr>
              <w:t>35</w:t>
            </w:r>
            <w:r>
              <w:rPr>
                <w:noProof/>
                <w:webHidden/>
              </w:rPr>
              <w:fldChar w:fldCharType="end"/>
            </w:r>
          </w:hyperlink>
        </w:p>
        <w:p w14:paraId="2A875BE0" w14:textId="45A76090" w:rsidR="00763D3B" w:rsidRDefault="00763D3B" w:rsidP="00900B80">
          <w:pPr>
            <w:pStyle w:val="Obsah1"/>
            <w:rPr>
              <w:rFonts w:eastAsiaTheme="minorEastAsia"/>
              <w:noProof/>
              <w:kern w:val="2"/>
              <w:sz w:val="24"/>
              <w:szCs w:val="24"/>
              <w:lang w:eastAsia="cs-CZ"/>
              <w14:ligatures w14:val="standardContextual"/>
            </w:rPr>
          </w:pPr>
          <w:hyperlink w:anchor="_Toc230777934" w:history="1">
            <w:r w:rsidRPr="00CA6875">
              <w:rPr>
                <w:rStyle w:val="Hypertextovodkaz"/>
                <w:noProof/>
              </w:rPr>
              <w:t>8</w:t>
            </w:r>
            <w:r>
              <w:rPr>
                <w:rFonts w:eastAsiaTheme="minorEastAsia"/>
                <w:noProof/>
                <w:kern w:val="2"/>
                <w:sz w:val="24"/>
                <w:szCs w:val="24"/>
                <w:lang w:eastAsia="cs-CZ"/>
                <w14:ligatures w14:val="standardContextual"/>
              </w:rPr>
              <w:tab/>
            </w:r>
            <w:r w:rsidRPr="00CA6875">
              <w:rPr>
                <w:rStyle w:val="Hypertextovodkaz"/>
                <w:noProof/>
              </w:rPr>
              <w:t>Způsob poskytování finanční podpory</w:t>
            </w:r>
            <w:r>
              <w:rPr>
                <w:noProof/>
                <w:webHidden/>
              </w:rPr>
              <w:tab/>
            </w:r>
            <w:r>
              <w:rPr>
                <w:noProof/>
                <w:webHidden/>
              </w:rPr>
              <w:fldChar w:fldCharType="begin"/>
            </w:r>
            <w:r>
              <w:rPr>
                <w:noProof/>
                <w:webHidden/>
              </w:rPr>
              <w:instrText xml:space="preserve"> PAGEREF _Toc230777934 \h </w:instrText>
            </w:r>
            <w:r>
              <w:rPr>
                <w:noProof/>
                <w:webHidden/>
              </w:rPr>
            </w:r>
            <w:r>
              <w:rPr>
                <w:noProof/>
                <w:webHidden/>
              </w:rPr>
              <w:fldChar w:fldCharType="separate"/>
            </w:r>
            <w:r>
              <w:rPr>
                <w:noProof/>
                <w:webHidden/>
              </w:rPr>
              <w:t>36</w:t>
            </w:r>
            <w:r>
              <w:rPr>
                <w:noProof/>
                <w:webHidden/>
              </w:rPr>
              <w:fldChar w:fldCharType="end"/>
            </w:r>
          </w:hyperlink>
        </w:p>
        <w:p w14:paraId="25DC610A" w14:textId="7691B00F" w:rsidR="00763D3B" w:rsidRDefault="00763D3B" w:rsidP="00900B80">
          <w:pPr>
            <w:pStyle w:val="Obsah1"/>
            <w:rPr>
              <w:rFonts w:eastAsiaTheme="minorEastAsia"/>
              <w:noProof/>
              <w:kern w:val="2"/>
              <w:sz w:val="24"/>
              <w:szCs w:val="24"/>
              <w:lang w:eastAsia="cs-CZ"/>
              <w14:ligatures w14:val="standardContextual"/>
            </w:rPr>
          </w:pPr>
          <w:hyperlink w:anchor="_Toc230777935" w:history="1">
            <w:r w:rsidRPr="00CA6875">
              <w:rPr>
                <w:rStyle w:val="Hypertextovodkaz"/>
                <w:noProof/>
              </w:rPr>
              <w:t>9</w:t>
            </w:r>
            <w:r>
              <w:rPr>
                <w:rFonts w:eastAsiaTheme="minorEastAsia"/>
                <w:noProof/>
                <w:kern w:val="2"/>
                <w:sz w:val="24"/>
                <w:szCs w:val="24"/>
                <w:lang w:eastAsia="cs-CZ"/>
                <w14:ligatures w14:val="standardContextual"/>
              </w:rPr>
              <w:tab/>
            </w:r>
            <w:r w:rsidRPr="00CA6875">
              <w:rPr>
                <w:rStyle w:val="Hypertextovodkaz"/>
                <w:noProof/>
              </w:rPr>
              <w:t>Tvorba rezervy</w:t>
            </w:r>
            <w:r>
              <w:rPr>
                <w:noProof/>
                <w:webHidden/>
              </w:rPr>
              <w:tab/>
            </w:r>
            <w:r>
              <w:rPr>
                <w:noProof/>
                <w:webHidden/>
              </w:rPr>
              <w:fldChar w:fldCharType="begin"/>
            </w:r>
            <w:r>
              <w:rPr>
                <w:noProof/>
                <w:webHidden/>
              </w:rPr>
              <w:instrText xml:space="preserve"> PAGEREF _Toc230777935 \h </w:instrText>
            </w:r>
            <w:r>
              <w:rPr>
                <w:noProof/>
                <w:webHidden/>
              </w:rPr>
            </w:r>
            <w:r>
              <w:rPr>
                <w:noProof/>
                <w:webHidden/>
              </w:rPr>
              <w:fldChar w:fldCharType="separate"/>
            </w:r>
            <w:r>
              <w:rPr>
                <w:noProof/>
                <w:webHidden/>
              </w:rPr>
              <w:t>39</w:t>
            </w:r>
            <w:r>
              <w:rPr>
                <w:noProof/>
                <w:webHidden/>
              </w:rPr>
              <w:fldChar w:fldCharType="end"/>
            </w:r>
          </w:hyperlink>
        </w:p>
        <w:p w14:paraId="12838D1C" w14:textId="29B0732D" w:rsidR="00763D3B" w:rsidRDefault="00763D3B" w:rsidP="00900B80">
          <w:pPr>
            <w:pStyle w:val="Obsah1"/>
            <w:rPr>
              <w:rFonts w:eastAsiaTheme="minorEastAsia"/>
              <w:noProof/>
              <w:kern w:val="2"/>
              <w:sz w:val="24"/>
              <w:szCs w:val="24"/>
              <w:lang w:eastAsia="cs-CZ"/>
              <w14:ligatures w14:val="standardContextual"/>
            </w:rPr>
          </w:pPr>
          <w:hyperlink w:anchor="_Toc230777936" w:history="1">
            <w:r w:rsidRPr="00CA6875">
              <w:rPr>
                <w:rStyle w:val="Hypertextovodkaz"/>
                <w:noProof/>
              </w:rPr>
              <w:t>10</w:t>
            </w:r>
            <w:r>
              <w:rPr>
                <w:rFonts w:eastAsiaTheme="minorEastAsia"/>
                <w:noProof/>
                <w:kern w:val="2"/>
                <w:sz w:val="24"/>
                <w:szCs w:val="24"/>
                <w:lang w:eastAsia="cs-CZ"/>
                <w14:ligatures w14:val="standardContextual"/>
              </w:rPr>
              <w:tab/>
            </w:r>
            <w:r w:rsidRPr="00CA6875">
              <w:rPr>
                <w:rStyle w:val="Hypertextovodkaz"/>
                <w:noProof/>
              </w:rPr>
              <w:t>Kontrolní mechanismy</w:t>
            </w:r>
            <w:r>
              <w:rPr>
                <w:noProof/>
                <w:webHidden/>
              </w:rPr>
              <w:tab/>
            </w:r>
            <w:r>
              <w:rPr>
                <w:noProof/>
                <w:webHidden/>
              </w:rPr>
              <w:fldChar w:fldCharType="begin"/>
            </w:r>
            <w:r>
              <w:rPr>
                <w:noProof/>
                <w:webHidden/>
              </w:rPr>
              <w:instrText xml:space="preserve"> PAGEREF _Toc230777936 \h </w:instrText>
            </w:r>
            <w:r>
              <w:rPr>
                <w:noProof/>
                <w:webHidden/>
              </w:rPr>
            </w:r>
            <w:r>
              <w:rPr>
                <w:noProof/>
                <w:webHidden/>
              </w:rPr>
              <w:fldChar w:fldCharType="separate"/>
            </w:r>
            <w:r>
              <w:rPr>
                <w:noProof/>
                <w:webHidden/>
              </w:rPr>
              <w:t>40</w:t>
            </w:r>
            <w:r>
              <w:rPr>
                <w:noProof/>
                <w:webHidden/>
              </w:rPr>
              <w:fldChar w:fldCharType="end"/>
            </w:r>
          </w:hyperlink>
        </w:p>
        <w:p w14:paraId="5BC921CB" w14:textId="24FD3F97"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37" w:history="1">
            <w:r w:rsidRPr="00CA6875">
              <w:rPr>
                <w:rStyle w:val="Hypertextovodkaz"/>
                <w:rFonts w:ascii="Calibri" w:hAnsi="Calibri"/>
                <w:noProof/>
              </w:rPr>
              <w:t>10.1</w:t>
            </w:r>
            <w:r>
              <w:rPr>
                <w:rFonts w:eastAsiaTheme="minorEastAsia"/>
                <w:noProof/>
                <w:kern w:val="2"/>
                <w:sz w:val="24"/>
                <w:szCs w:val="24"/>
                <w:lang w:eastAsia="cs-CZ"/>
                <w14:ligatures w14:val="standardContextual"/>
              </w:rPr>
              <w:tab/>
            </w:r>
            <w:r w:rsidRPr="00CA6875">
              <w:rPr>
                <w:rStyle w:val="Hypertextovodkaz"/>
                <w:rFonts w:ascii="Calibri" w:hAnsi="Calibri"/>
                <w:noProof/>
              </w:rPr>
              <w:t>Zásady</w:t>
            </w:r>
            <w:r>
              <w:rPr>
                <w:noProof/>
                <w:webHidden/>
              </w:rPr>
              <w:tab/>
            </w:r>
            <w:r>
              <w:rPr>
                <w:noProof/>
                <w:webHidden/>
              </w:rPr>
              <w:fldChar w:fldCharType="begin"/>
            </w:r>
            <w:r>
              <w:rPr>
                <w:noProof/>
                <w:webHidden/>
              </w:rPr>
              <w:instrText xml:space="preserve"> PAGEREF _Toc230777937 \h </w:instrText>
            </w:r>
            <w:r>
              <w:rPr>
                <w:noProof/>
                <w:webHidden/>
              </w:rPr>
            </w:r>
            <w:r>
              <w:rPr>
                <w:noProof/>
                <w:webHidden/>
              </w:rPr>
              <w:fldChar w:fldCharType="separate"/>
            </w:r>
            <w:r>
              <w:rPr>
                <w:noProof/>
                <w:webHidden/>
              </w:rPr>
              <w:t>40</w:t>
            </w:r>
            <w:r>
              <w:rPr>
                <w:noProof/>
                <w:webHidden/>
              </w:rPr>
              <w:fldChar w:fldCharType="end"/>
            </w:r>
          </w:hyperlink>
        </w:p>
        <w:p w14:paraId="4E22528B" w14:textId="39A0BF77"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38" w:history="1">
            <w:r w:rsidRPr="00CA6875">
              <w:rPr>
                <w:rStyle w:val="Hypertextovodkaz"/>
                <w:rFonts w:ascii="Calibri" w:hAnsi="Calibri"/>
                <w:noProof/>
              </w:rPr>
              <w:t>10.2</w:t>
            </w:r>
            <w:r>
              <w:rPr>
                <w:rFonts w:eastAsiaTheme="minorEastAsia"/>
                <w:noProof/>
                <w:kern w:val="2"/>
                <w:sz w:val="24"/>
                <w:szCs w:val="24"/>
                <w:lang w:eastAsia="cs-CZ"/>
                <w14:ligatures w14:val="standardContextual"/>
              </w:rPr>
              <w:tab/>
            </w:r>
            <w:r w:rsidRPr="00CA6875">
              <w:rPr>
                <w:rStyle w:val="Hypertextovodkaz"/>
                <w:rFonts w:ascii="Calibri" w:hAnsi="Calibri"/>
                <w:noProof/>
              </w:rPr>
              <w:t>Provádění kontroly</w:t>
            </w:r>
            <w:r>
              <w:rPr>
                <w:noProof/>
                <w:webHidden/>
              </w:rPr>
              <w:tab/>
            </w:r>
            <w:r>
              <w:rPr>
                <w:noProof/>
                <w:webHidden/>
              </w:rPr>
              <w:fldChar w:fldCharType="begin"/>
            </w:r>
            <w:r>
              <w:rPr>
                <w:noProof/>
                <w:webHidden/>
              </w:rPr>
              <w:instrText xml:space="preserve"> PAGEREF _Toc230777938 \h </w:instrText>
            </w:r>
            <w:r>
              <w:rPr>
                <w:noProof/>
                <w:webHidden/>
              </w:rPr>
            </w:r>
            <w:r>
              <w:rPr>
                <w:noProof/>
                <w:webHidden/>
              </w:rPr>
              <w:fldChar w:fldCharType="separate"/>
            </w:r>
            <w:r>
              <w:rPr>
                <w:noProof/>
                <w:webHidden/>
              </w:rPr>
              <w:t>41</w:t>
            </w:r>
            <w:r>
              <w:rPr>
                <w:noProof/>
                <w:webHidden/>
              </w:rPr>
              <w:fldChar w:fldCharType="end"/>
            </w:r>
          </w:hyperlink>
        </w:p>
        <w:p w14:paraId="15C58A9F" w14:textId="6E292813" w:rsidR="00763D3B" w:rsidRDefault="00763D3B">
          <w:pPr>
            <w:pStyle w:val="Obsah2"/>
            <w:tabs>
              <w:tab w:val="left" w:pos="960"/>
              <w:tab w:val="right" w:leader="dot" w:pos="9344"/>
            </w:tabs>
            <w:rPr>
              <w:rFonts w:eastAsiaTheme="minorEastAsia"/>
              <w:noProof/>
              <w:kern w:val="2"/>
              <w:sz w:val="24"/>
              <w:szCs w:val="24"/>
              <w:lang w:eastAsia="cs-CZ"/>
              <w14:ligatures w14:val="standardContextual"/>
            </w:rPr>
          </w:pPr>
          <w:hyperlink w:anchor="_Toc230777939" w:history="1">
            <w:r w:rsidRPr="00CA6875">
              <w:rPr>
                <w:rStyle w:val="Hypertextovodkaz"/>
                <w:rFonts w:ascii="Calibri" w:hAnsi="Calibri"/>
                <w:noProof/>
              </w:rPr>
              <w:t>10.3</w:t>
            </w:r>
            <w:r>
              <w:rPr>
                <w:rFonts w:eastAsiaTheme="minorEastAsia"/>
                <w:noProof/>
                <w:kern w:val="2"/>
                <w:sz w:val="24"/>
                <w:szCs w:val="24"/>
                <w:lang w:eastAsia="cs-CZ"/>
                <w14:ligatures w14:val="standardContextual"/>
              </w:rPr>
              <w:tab/>
            </w:r>
            <w:r w:rsidRPr="00CA6875">
              <w:rPr>
                <w:rStyle w:val="Hypertextovodkaz"/>
                <w:rFonts w:ascii="Calibri" w:hAnsi="Calibri"/>
                <w:noProof/>
              </w:rPr>
              <w:t>Provádění kontroly nadměrnosti vyrovnávací platby</w:t>
            </w:r>
            <w:r>
              <w:rPr>
                <w:noProof/>
                <w:webHidden/>
              </w:rPr>
              <w:tab/>
            </w:r>
            <w:r>
              <w:rPr>
                <w:noProof/>
                <w:webHidden/>
              </w:rPr>
              <w:fldChar w:fldCharType="begin"/>
            </w:r>
            <w:r>
              <w:rPr>
                <w:noProof/>
                <w:webHidden/>
              </w:rPr>
              <w:instrText xml:space="preserve"> PAGEREF _Toc230777939 \h </w:instrText>
            </w:r>
            <w:r>
              <w:rPr>
                <w:noProof/>
                <w:webHidden/>
              </w:rPr>
            </w:r>
            <w:r>
              <w:rPr>
                <w:noProof/>
                <w:webHidden/>
              </w:rPr>
              <w:fldChar w:fldCharType="separate"/>
            </w:r>
            <w:r>
              <w:rPr>
                <w:noProof/>
                <w:webHidden/>
              </w:rPr>
              <w:t>42</w:t>
            </w:r>
            <w:r>
              <w:rPr>
                <w:noProof/>
                <w:webHidden/>
              </w:rPr>
              <w:fldChar w:fldCharType="end"/>
            </w:r>
          </w:hyperlink>
        </w:p>
        <w:p w14:paraId="5663AD5C" w14:textId="7FD8FD78" w:rsidR="00763D3B" w:rsidRDefault="00763D3B" w:rsidP="00900B80">
          <w:pPr>
            <w:pStyle w:val="Obsah1"/>
            <w:rPr>
              <w:rFonts w:eastAsiaTheme="minorEastAsia"/>
              <w:noProof/>
              <w:kern w:val="2"/>
              <w:sz w:val="24"/>
              <w:szCs w:val="24"/>
              <w:lang w:eastAsia="cs-CZ"/>
              <w14:ligatures w14:val="standardContextual"/>
            </w:rPr>
          </w:pPr>
          <w:hyperlink w:anchor="_Toc230777940" w:history="1">
            <w:r w:rsidRPr="00CA6875">
              <w:rPr>
                <w:rStyle w:val="Hypertextovodkaz"/>
                <w:noProof/>
              </w:rPr>
              <w:t>11</w:t>
            </w:r>
            <w:r>
              <w:rPr>
                <w:rFonts w:eastAsiaTheme="minorEastAsia"/>
                <w:noProof/>
                <w:kern w:val="2"/>
                <w:sz w:val="24"/>
                <w:szCs w:val="24"/>
                <w:lang w:eastAsia="cs-CZ"/>
                <w14:ligatures w14:val="standardContextual"/>
              </w:rPr>
              <w:tab/>
            </w:r>
            <w:r w:rsidRPr="00CA6875">
              <w:rPr>
                <w:rStyle w:val="Hypertextovodkaz"/>
                <w:noProof/>
              </w:rPr>
              <w:t>Závěrečná ustanovení</w:t>
            </w:r>
            <w:r>
              <w:rPr>
                <w:noProof/>
                <w:webHidden/>
              </w:rPr>
              <w:tab/>
            </w:r>
            <w:r>
              <w:rPr>
                <w:noProof/>
                <w:webHidden/>
              </w:rPr>
              <w:fldChar w:fldCharType="begin"/>
            </w:r>
            <w:r>
              <w:rPr>
                <w:noProof/>
                <w:webHidden/>
              </w:rPr>
              <w:instrText xml:space="preserve"> PAGEREF _Toc230777940 \h </w:instrText>
            </w:r>
            <w:r>
              <w:rPr>
                <w:noProof/>
                <w:webHidden/>
              </w:rPr>
            </w:r>
            <w:r>
              <w:rPr>
                <w:noProof/>
                <w:webHidden/>
              </w:rPr>
              <w:fldChar w:fldCharType="separate"/>
            </w:r>
            <w:r>
              <w:rPr>
                <w:noProof/>
                <w:webHidden/>
              </w:rPr>
              <w:t>44</w:t>
            </w:r>
            <w:r>
              <w:rPr>
                <w:noProof/>
                <w:webHidden/>
              </w:rPr>
              <w:fldChar w:fldCharType="end"/>
            </w:r>
          </w:hyperlink>
        </w:p>
        <w:p w14:paraId="48FE73B8" w14:textId="66D60C45" w:rsidR="00763D3B" w:rsidRDefault="00763D3B" w:rsidP="00900B80">
          <w:pPr>
            <w:pStyle w:val="Obsah1"/>
            <w:rPr>
              <w:rFonts w:eastAsiaTheme="minorEastAsia"/>
              <w:noProof/>
              <w:kern w:val="2"/>
              <w:sz w:val="24"/>
              <w:szCs w:val="24"/>
              <w:lang w:eastAsia="cs-CZ"/>
              <w14:ligatures w14:val="standardContextual"/>
            </w:rPr>
          </w:pPr>
          <w:hyperlink w:anchor="_Toc230777941" w:history="1">
            <w:r w:rsidRPr="00CA6875">
              <w:rPr>
                <w:rStyle w:val="Hypertextovodkaz"/>
                <w:noProof/>
              </w:rPr>
              <w:t>12</w:t>
            </w:r>
            <w:r>
              <w:rPr>
                <w:rFonts w:eastAsiaTheme="minorEastAsia"/>
                <w:noProof/>
                <w:kern w:val="2"/>
                <w:sz w:val="24"/>
                <w:szCs w:val="24"/>
                <w:lang w:eastAsia="cs-CZ"/>
                <w14:ligatures w14:val="standardContextual"/>
              </w:rPr>
              <w:tab/>
            </w:r>
            <w:r w:rsidRPr="00CA6875">
              <w:rPr>
                <w:rStyle w:val="Hypertextovodkaz"/>
                <w:noProof/>
              </w:rPr>
              <w:t>Seznam použitých pojmů</w:t>
            </w:r>
            <w:r>
              <w:rPr>
                <w:noProof/>
                <w:webHidden/>
              </w:rPr>
              <w:tab/>
            </w:r>
            <w:r>
              <w:rPr>
                <w:noProof/>
                <w:webHidden/>
              </w:rPr>
              <w:fldChar w:fldCharType="begin"/>
            </w:r>
            <w:r>
              <w:rPr>
                <w:noProof/>
                <w:webHidden/>
              </w:rPr>
              <w:instrText xml:space="preserve"> PAGEREF _Toc230777941 \h </w:instrText>
            </w:r>
            <w:r>
              <w:rPr>
                <w:noProof/>
                <w:webHidden/>
              </w:rPr>
            </w:r>
            <w:r>
              <w:rPr>
                <w:noProof/>
                <w:webHidden/>
              </w:rPr>
              <w:fldChar w:fldCharType="separate"/>
            </w:r>
            <w:r>
              <w:rPr>
                <w:noProof/>
                <w:webHidden/>
              </w:rPr>
              <w:t>45</w:t>
            </w:r>
            <w:r>
              <w:rPr>
                <w:noProof/>
                <w:webHidden/>
              </w:rPr>
              <w:fldChar w:fldCharType="end"/>
            </w:r>
          </w:hyperlink>
        </w:p>
        <w:p w14:paraId="64AA36C1" w14:textId="1F1CF5A2" w:rsidR="00763D3B" w:rsidRDefault="00763D3B" w:rsidP="00900B80">
          <w:pPr>
            <w:pStyle w:val="Obsah1"/>
            <w:rPr>
              <w:rFonts w:eastAsiaTheme="minorEastAsia"/>
              <w:noProof/>
              <w:kern w:val="2"/>
              <w:sz w:val="24"/>
              <w:szCs w:val="24"/>
              <w:lang w:eastAsia="cs-CZ"/>
              <w14:ligatures w14:val="standardContextual"/>
            </w:rPr>
          </w:pPr>
          <w:hyperlink w:anchor="_Toc230777942" w:history="1">
            <w:r w:rsidRPr="00CA6875">
              <w:rPr>
                <w:rStyle w:val="Hypertextovodkaz"/>
                <w:noProof/>
              </w:rPr>
              <w:t>13</w:t>
            </w:r>
            <w:r>
              <w:rPr>
                <w:rFonts w:eastAsiaTheme="minorEastAsia"/>
                <w:noProof/>
                <w:kern w:val="2"/>
                <w:sz w:val="24"/>
                <w:szCs w:val="24"/>
                <w:lang w:eastAsia="cs-CZ"/>
                <w14:ligatures w14:val="standardContextual"/>
              </w:rPr>
              <w:tab/>
            </w:r>
            <w:r w:rsidRPr="00CA6875">
              <w:rPr>
                <w:rStyle w:val="Hypertextovodkaz"/>
                <w:noProof/>
              </w:rPr>
              <w:t>Seznam použitých zkratek</w:t>
            </w:r>
            <w:r>
              <w:rPr>
                <w:noProof/>
                <w:webHidden/>
              </w:rPr>
              <w:tab/>
            </w:r>
            <w:r>
              <w:rPr>
                <w:noProof/>
                <w:webHidden/>
              </w:rPr>
              <w:fldChar w:fldCharType="begin"/>
            </w:r>
            <w:r>
              <w:rPr>
                <w:noProof/>
                <w:webHidden/>
              </w:rPr>
              <w:instrText xml:space="preserve"> PAGEREF _Toc230777942 \h </w:instrText>
            </w:r>
            <w:r>
              <w:rPr>
                <w:noProof/>
                <w:webHidden/>
              </w:rPr>
            </w:r>
            <w:r>
              <w:rPr>
                <w:noProof/>
                <w:webHidden/>
              </w:rPr>
              <w:fldChar w:fldCharType="separate"/>
            </w:r>
            <w:r>
              <w:rPr>
                <w:noProof/>
                <w:webHidden/>
              </w:rPr>
              <w:t>48</w:t>
            </w:r>
            <w:r>
              <w:rPr>
                <w:noProof/>
                <w:webHidden/>
              </w:rPr>
              <w:fldChar w:fldCharType="end"/>
            </w:r>
          </w:hyperlink>
        </w:p>
        <w:p w14:paraId="71036CF1" w14:textId="10EAD88A" w:rsidR="00763D3B" w:rsidRDefault="00763D3B" w:rsidP="00900B80">
          <w:pPr>
            <w:pStyle w:val="Obsah1"/>
            <w:rPr>
              <w:rFonts w:eastAsiaTheme="minorEastAsia"/>
              <w:noProof/>
              <w:kern w:val="2"/>
              <w:sz w:val="24"/>
              <w:szCs w:val="24"/>
              <w:lang w:eastAsia="cs-CZ"/>
              <w14:ligatures w14:val="standardContextual"/>
            </w:rPr>
          </w:pPr>
          <w:hyperlink w:anchor="_Toc230777943" w:history="1">
            <w:r w:rsidRPr="00CA6875">
              <w:rPr>
                <w:rStyle w:val="Hypertextovodkaz"/>
                <w:noProof/>
              </w:rPr>
              <w:t>14</w:t>
            </w:r>
            <w:r>
              <w:rPr>
                <w:rFonts w:eastAsiaTheme="minorEastAsia"/>
                <w:noProof/>
                <w:kern w:val="2"/>
                <w:sz w:val="24"/>
                <w:szCs w:val="24"/>
                <w:lang w:eastAsia="cs-CZ"/>
                <w14:ligatures w14:val="standardContextual"/>
              </w:rPr>
              <w:tab/>
            </w:r>
            <w:r w:rsidRPr="00CA6875">
              <w:rPr>
                <w:rStyle w:val="Hypertextovodkaz"/>
                <w:noProof/>
              </w:rPr>
              <w:t>Seznam tabulek</w:t>
            </w:r>
            <w:r>
              <w:rPr>
                <w:noProof/>
                <w:webHidden/>
              </w:rPr>
              <w:tab/>
            </w:r>
            <w:r>
              <w:rPr>
                <w:noProof/>
                <w:webHidden/>
              </w:rPr>
              <w:fldChar w:fldCharType="begin"/>
            </w:r>
            <w:r>
              <w:rPr>
                <w:noProof/>
                <w:webHidden/>
              </w:rPr>
              <w:instrText xml:space="preserve"> PAGEREF _Toc230777943 \h </w:instrText>
            </w:r>
            <w:r>
              <w:rPr>
                <w:noProof/>
                <w:webHidden/>
              </w:rPr>
            </w:r>
            <w:r>
              <w:rPr>
                <w:noProof/>
                <w:webHidden/>
              </w:rPr>
              <w:fldChar w:fldCharType="separate"/>
            </w:r>
            <w:r>
              <w:rPr>
                <w:noProof/>
                <w:webHidden/>
              </w:rPr>
              <w:t>49</w:t>
            </w:r>
            <w:r>
              <w:rPr>
                <w:noProof/>
                <w:webHidden/>
              </w:rPr>
              <w:fldChar w:fldCharType="end"/>
            </w:r>
          </w:hyperlink>
        </w:p>
        <w:p w14:paraId="35ABC32C" w14:textId="2B7749CC" w:rsidR="00475554" w:rsidRDefault="00157B87">
          <w:pPr>
            <w:spacing w:before="120" w:after="120"/>
            <w:jc w:val="both"/>
          </w:pPr>
          <w:r>
            <w:fldChar w:fldCharType="end"/>
          </w:r>
        </w:p>
      </w:sdtContent>
    </w:sdt>
    <w:p w14:paraId="196B4B99" w14:textId="77777777" w:rsidR="00475554" w:rsidRDefault="00157B87">
      <w:pPr>
        <w:spacing w:before="120" w:after="120"/>
        <w:jc w:val="both"/>
        <w:rPr>
          <w:rFonts w:ascii="Calibri" w:eastAsiaTheme="majorEastAsia" w:hAnsi="Calibri" w:cstheme="majorBidi"/>
          <w:bCs/>
          <w:color w:val="000000" w:themeColor="text1"/>
        </w:rPr>
      </w:pPr>
      <w:r>
        <w:br w:type="page"/>
      </w:r>
    </w:p>
    <w:p w14:paraId="443FF38A" w14:textId="77777777" w:rsidR="00475554" w:rsidRDefault="00157B87">
      <w:pPr>
        <w:pStyle w:val="Nadpis1"/>
        <w:spacing w:before="120" w:after="120"/>
        <w:ind w:left="709" w:hanging="709"/>
        <w:jc w:val="both"/>
        <w:rPr>
          <w:rFonts w:asciiTheme="minorHAnsi" w:hAnsiTheme="minorHAnsi"/>
          <w:sz w:val="32"/>
          <w:szCs w:val="32"/>
        </w:rPr>
      </w:pPr>
      <w:bookmarkStart w:id="0" w:name="_Ref380002355"/>
      <w:bookmarkStart w:id="1" w:name="_Ref380002365"/>
      <w:bookmarkStart w:id="2" w:name="_Toc386625335"/>
      <w:bookmarkStart w:id="3" w:name="_Toc385925684"/>
      <w:bookmarkStart w:id="4" w:name="_Toc230777903"/>
      <w:r>
        <w:rPr>
          <w:rFonts w:asciiTheme="minorHAnsi" w:hAnsiTheme="minorHAnsi"/>
          <w:sz w:val="32"/>
          <w:szCs w:val="32"/>
        </w:rPr>
        <w:lastRenderedPageBreak/>
        <w:t>Úvod</w:t>
      </w:r>
      <w:bookmarkEnd w:id="0"/>
      <w:bookmarkEnd w:id="1"/>
      <w:bookmarkEnd w:id="2"/>
      <w:bookmarkEnd w:id="3"/>
      <w:bookmarkEnd w:id="4"/>
    </w:p>
    <w:p w14:paraId="0A1B173A" w14:textId="046EE8A0" w:rsidR="00475554" w:rsidRDefault="00157B87">
      <w:pPr>
        <w:spacing w:before="120" w:after="120"/>
        <w:jc w:val="both"/>
      </w:pPr>
      <w:r>
        <w:rPr>
          <w:color w:val="000000" w:themeColor="text1"/>
        </w:rPr>
        <w:t xml:space="preserve">Podmínky pro stanovení vyrovnávací platby a finanční podpory sociálních služeb na území Zlínského kraje (dále jen „Podmínky“) schvaluje dle zákona č. 108/2006 Sb., o sociálních službách, ve znění pozdějších předpisů (dále jen „zákon </w:t>
      </w:r>
      <w:r w:rsidR="00CF57D5">
        <w:rPr>
          <w:color w:val="000000" w:themeColor="text1"/>
        </w:rPr>
        <w:t>č. 108/2006 Sb.</w:t>
      </w:r>
      <w:r>
        <w:rPr>
          <w:color w:val="000000" w:themeColor="text1"/>
        </w:rPr>
        <w:t xml:space="preserve">“) Zastupitelstvo Zlínského kraje. Podmínky jsou nezbytnou součástí Žádosti kraje o poskytnutí dotace ze státního rozpočtu, kterou dle Nařízení vlády č. 98/2015 Sb., o provedení § 101a zákona o sociálních službách, kraj předkládá Ministerstvu práce a sociálních věcí (dále jen „MPSV“) nejpozději do 31. 7. kalendářního roku, který předchází kalendářnímu roku, na který se dotace žádá. Podmínky jsou také součástí žádostí o podporu v rámci individuálních projektů </w:t>
      </w:r>
      <w:r>
        <w:t>spolufinancovaných z Operačního programu Zaměstnanost</w:t>
      </w:r>
      <w:r w:rsidR="00EE49FE">
        <w:t xml:space="preserve"> plus</w:t>
      </w:r>
      <w:r>
        <w:t>, případně dalších individuálních projektů spolufinancovaných z fondů Evropské unie (dále jen „EU“).</w:t>
      </w:r>
    </w:p>
    <w:p w14:paraId="4C56C89D" w14:textId="2DDEF2D4" w:rsidR="00475554" w:rsidRDefault="00157B87">
      <w:pPr>
        <w:spacing w:before="120" w:after="120"/>
        <w:jc w:val="both"/>
        <w:rPr>
          <w:color w:val="000000" w:themeColor="text1"/>
        </w:rPr>
      </w:pPr>
      <w:r>
        <w:rPr>
          <w:color w:val="000000" w:themeColor="text1"/>
        </w:rPr>
        <w:t xml:space="preserve">Zákon </w:t>
      </w:r>
      <w:r w:rsidR="00077C41">
        <w:rPr>
          <w:color w:val="000000" w:themeColor="text1"/>
        </w:rPr>
        <w:t>č. 108/2006 Sb.</w:t>
      </w:r>
      <w:r>
        <w:rPr>
          <w:color w:val="000000" w:themeColor="text1"/>
        </w:rPr>
        <w:t xml:space="preserve"> stanoví krajům odpovědnost za zajištění dostupnosti sociálních služeb na svém území. K plnění této povinnosti se krajům poskytuje ze státního rozpočtu účelově určená dotace na financování běžných výdajů souvisejících s poskytováním základních druhů a forem sociálních služeb v rozsahu stanoveném základními činnostmi u jednotlivých druhů sociálních služeb. Dotaci krajům poskytuje MPSV.</w:t>
      </w:r>
    </w:p>
    <w:p w14:paraId="385AFFE2" w14:textId="77777777" w:rsidR="00475554" w:rsidRDefault="00157B87">
      <w:pPr>
        <w:spacing w:before="120" w:after="120"/>
        <w:jc w:val="both"/>
        <w:rPr>
          <w:color w:val="000000" w:themeColor="text1"/>
        </w:rPr>
      </w:pPr>
      <w:r>
        <w:rPr>
          <w:color w:val="000000" w:themeColor="text1"/>
        </w:rPr>
        <w:t>Zlínský kraj financuje poskytovatele sociálních služeb také z vlastních zdrojů a prostředků, které Zlínský kraj získá v rámci individuálních projektů spolufinancovaných z Operačního programu Zaměstnanost</w:t>
      </w:r>
      <w:r w:rsidR="00EE49FE">
        <w:rPr>
          <w:color w:val="000000" w:themeColor="text1"/>
        </w:rPr>
        <w:t xml:space="preserve"> plus</w:t>
      </w:r>
      <w:r>
        <w:rPr>
          <w:color w:val="000000" w:themeColor="text1"/>
        </w:rPr>
        <w:t xml:space="preserve">, případně dalších individuálních projektů spolufinancovaných z fondů EU, v závislosti na svých </w:t>
      </w:r>
      <w:r w:rsidR="002D4F22">
        <w:rPr>
          <w:color w:val="000000" w:themeColor="text1"/>
        </w:rPr>
        <w:t>deklarovaných cílech</w:t>
      </w:r>
      <w:r>
        <w:rPr>
          <w:color w:val="000000" w:themeColor="text1"/>
        </w:rPr>
        <w:t xml:space="preserve"> vyjádřených ve strategických dokumentech.</w:t>
      </w:r>
    </w:p>
    <w:p w14:paraId="16175A92" w14:textId="44EEC6D5" w:rsidR="00475554" w:rsidRPr="0034717D" w:rsidRDefault="00157B87">
      <w:pPr>
        <w:spacing w:before="120" w:after="120"/>
        <w:jc w:val="both"/>
        <w:rPr>
          <w:color w:val="000000" w:themeColor="text1"/>
          <w:spacing w:val="-2"/>
        </w:rPr>
      </w:pPr>
      <w:r>
        <w:rPr>
          <w:color w:val="000000" w:themeColor="text1"/>
        </w:rPr>
        <w:t xml:space="preserve">Pro zajištění kontinuity financování poskytovatelů sociálních služeb ve Zlínském kraji představují tyto Podmínky základní rámec pro financování poskytovatelů sociálních služeb ve Zlínském kraji v souladu </w:t>
      </w:r>
      <w:r>
        <w:rPr>
          <w:color w:val="000000" w:themeColor="text1"/>
          <w:spacing w:val="-2"/>
        </w:rPr>
        <w:t xml:space="preserve">s § 101a zákona </w:t>
      </w:r>
      <w:r w:rsidR="00077C41">
        <w:rPr>
          <w:color w:val="000000" w:themeColor="text1"/>
          <w:spacing w:val="-2"/>
        </w:rPr>
        <w:t>č. 108/2006 Sb.</w:t>
      </w:r>
      <w:r w:rsidRPr="0034717D">
        <w:rPr>
          <w:color w:val="000000" w:themeColor="text1"/>
          <w:spacing w:val="-2"/>
        </w:rPr>
        <w:t xml:space="preserve"> a rovněž z vlastních zdrojů Zlínského kraje a prostředků z fondů EU.</w:t>
      </w:r>
    </w:p>
    <w:p w14:paraId="18FA41DF" w14:textId="6988775B" w:rsidR="00475554" w:rsidRDefault="00157B87">
      <w:pPr>
        <w:spacing w:before="120" w:after="120"/>
        <w:jc w:val="both"/>
        <w:rPr>
          <w:color w:val="000000" w:themeColor="text1"/>
        </w:rPr>
      </w:pPr>
      <w:r w:rsidRPr="0034717D">
        <w:rPr>
          <w:color w:val="000000" w:themeColor="text1"/>
        </w:rPr>
        <w:t xml:space="preserve">Financování sociálních služeb </w:t>
      </w:r>
      <w:r w:rsidR="34575664" w:rsidRPr="00803F02">
        <w:rPr>
          <w:color w:val="000000" w:themeColor="text1"/>
        </w:rPr>
        <w:t xml:space="preserve">zařazených v sítích Zlínského kraje, které jsou </w:t>
      </w:r>
      <w:r w:rsidR="34575664" w:rsidRPr="0034717D">
        <w:rPr>
          <w:color w:val="000000" w:themeColor="text1"/>
        </w:rPr>
        <w:t xml:space="preserve">součástí </w:t>
      </w:r>
      <w:r w:rsidR="006D34C3" w:rsidRPr="006D34C3">
        <w:rPr>
          <w:color w:val="000000" w:themeColor="text1"/>
        </w:rPr>
        <w:t>Střednědob</w:t>
      </w:r>
      <w:r w:rsidR="006D34C3">
        <w:rPr>
          <w:color w:val="000000" w:themeColor="text1"/>
        </w:rPr>
        <w:t>ého</w:t>
      </w:r>
      <w:r w:rsidR="006D34C3" w:rsidRPr="006D34C3">
        <w:rPr>
          <w:color w:val="000000" w:themeColor="text1"/>
        </w:rPr>
        <w:t xml:space="preserve"> plán</w:t>
      </w:r>
      <w:r w:rsidR="006D34C3">
        <w:rPr>
          <w:color w:val="000000" w:themeColor="text1"/>
        </w:rPr>
        <w:t>u</w:t>
      </w:r>
      <w:r w:rsidR="006D34C3" w:rsidRPr="006D34C3">
        <w:rPr>
          <w:color w:val="000000" w:themeColor="text1"/>
        </w:rPr>
        <w:t xml:space="preserve"> rozvoje sociálních služeb ve Zlínském kraji pro období 202</w:t>
      </w:r>
      <w:r w:rsidR="00CF57D5">
        <w:rPr>
          <w:color w:val="000000" w:themeColor="text1"/>
        </w:rPr>
        <w:t>6</w:t>
      </w:r>
      <w:r w:rsidR="006D34C3" w:rsidRPr="006D34C3">
        <w:rPr>
          <w:color w:val="000000" w:themeColor="text1"/>
        </w:rPr>
        <w:t>–202</w:t>
      </w:r>
      <w:r w:rsidR="00CF57D5">
        <w:rPr>
          <w:color w:val="000000" w:themeColor="text1"/>
        </w:rPr>
        <w:t>8</w:t>
      </w:r>
      <w:r w:rsidR="00A965D5" w:rsidRPr="0034717D">
        <w:rPr>
          <w:color w:val="000000" w:themeColor="text1"/>
        </w:rPr>
        <w:t>, v platném znění</w:t>
      </w:r>
      <w:r w:rsidR="00DB3CC5">
        <w:rPr>
          <w:color w:val="000000" w:themeColor="text1"/>
        </w:rPr>
        <w:t xml:space="preserve"> </w:t>
      </w:r>
      <w:r w:rsidR="00DB3CC5">
        <w:t>(dále jen „Střednědobý plán 2026–2028“)</w:t>
      </w:r>
      <w:r w:rsidR="00A965D5">
        <w:rPr>
          <w:color w:val="000000" w:themeColor="text1"/>
        </w:rPr>
        <w:t>,</w:t>
      </w:r>
      <w:r w:rsidR="00A965D5">
        <w:t xml:space="preserve"> vč. jeho prováděcích částí</w:t>
      </w:r>
      <w:r w:rsidR="009533F3">
        <w:t>, tj.</w:t>
      </w:r>
      <w:r w:rsidR="00A965D5">
        <w:t xml:space="preserve"> </w:t>
      </w:r>
      <w:r w:rsidR="009533F3" w:rsidRPr="009533F3">
        <w:t>Akčního plánu rozvoje sociálních služeb ve Zlínském kraji pro daný rok, v platném znění (dále jen „Akční plán pro daný rok“)</w:t>
      </w:r>
      <w:r w:rsidR="009533F3">
        <w:t>,</w:t>
      </w:r>
      <w:r w:rsidR="009533F3" w:rsidRPr="009533F3" w:rsidDel="009533F3">
        <w:t xml:space="preserve"> </w:t>
      </w:r>
      <w:r>
        <w:rPr>
          <w:color w:val="000000" w:themeColor="text1"/>
        </w:rPr>
        <w:t xml:space="preserve">probíhá v souladu se zákonem č. 250/2000 Sb., o rozpočtových pravidlech územních rozpočtů, ve znění pozdějších předpisů (dále jen „zákon </w:t>
      </w:r>
      <w:r w:rsidR="00CF57D5">
        <w:rPr>
          <w:color w:val="000000" w:themeColor="text1"/>
        </w:rPr>
        <w:t>č. 250/2000 Sb.</w:t>
      </w:r>
      <w:r>
        <w:rPr>
          <w:color w:val="000000" w:themeColor="text1"/>
        </w:rPr>
        <w:t>“).</w:t>
      </w:r>
    </w:p>
    <w:p w14:paraId="53BDCFA4" w14:textId="55285E92" w:rsidR="00475554" w:rsidRDefault="00157B87">
      <w:pPr>
        <w:spacing w:before="120" w:after="120"/>
        <w:jc w:val="both"/>
        <w:rPr>
          <w:color w:val="000000" w:themeColor="text1"/>
        </w:rPr>
      </w:pPr>
      <w:r>
        <w:rPr>
          <w:color w:val="000000" w:themeColor="text1"/>
        </w:rPr>
        <w:t xml:space="preserve">Rada Zlínského kraje pro poskytování finančních prostředků dle § 101a zákona </w:t>
      </w:r>
      <w:r w:rsidR="00CF57D5">
        <w:rPr>
          <w:color w:val="000000" w:themeColor="text1"/>
        </w:rPr>
        <w:t>č. 108/2006 Sb.</w:t>
      </w:r>
      <w:r>
        <w:rPr>
          <w:color w:val="000000" w:themeColor="text1"/>
        </w:rPr>
        <w:t xml:space="preserve"> schvaluje procesní postupy v souladu s těmito Podmínkami, které konkretizují a rozvádějí kritéria poskytnutí finanční podpory.</w:t>
      </w:r>
    </w:p>
    <w:p w14:paraId="33D3B94B" w14:textId="77777777" w:rsidR="00475554" w:rsidRDefault="00157B87">
      <w:pPr>
        <w:spacing w:before="120" w:after="120"/>
        <w:jc w:val="both"/>
        <w:rPr>
          <w:color w:val="000000" w:themeColor="text1"/>
        </w:rPr>
      </w:pPr>
      <w:r>
        <w:rPr>
          <w:color w:val="000000" w:themeColor="text1"/>
        </w:rPr>
        <w:t>V případě poskytování prostředků z vlastních zdrojů Zlínského kraje a prostředků, které Zlínský kraj získá v rámci individuálních projektů spolufinancovaných z Operačního programu Zaměstnanost</w:t>
      </w:r>
      <w:r w:rsidR="00EE49FE">
        <w:rPr>
          <w:color w:val="000000" w:themeColor="text1"/>
        </w:rPr>
        <w:t xml:space="preserve"> plus</w:t>
      </w:r>
      <w:r>
        <w:rPr>
          <w:color w:val="000000" w:themeColor="text1"/>
        </w:rPr>
        <w:t>, případně dalších individuálních projektů spolufinancovaných z fondů EU, Rada Zlínského kraje schvaluje procesní postupy k poskytování finančních prostředků, které jsou identické pro všechny poskytovatele sociálních služeb.</w:t>
      </w:r>
    </w:p>
    <w:p w14:paraId="0E92D397" w14:textId="05453F92" w:rsidR="00475554" w:rsidRDefault="00157B87">
      <w:pPr>
        <w:spacing w:before="120" w:after="120"/>
        <w:jc w:val="both"/>
        <w:rPr>
          <w:color w:val="000000" w:themeColor="text1"/>
        </w:rPr>
      </w:pPr>
      <w:r>
        <w:t xml:space="preserve">Tyto Podmínky budou použity </w:t>
      </w:r>
      <w:r w:rsidR="3DAA70BC">
        <w:t xml:space="preserve">jako výchozí dokument, z jehož principů kraj vychází </w:t>
      </w:r>
      <w:r w:rsidR="5091E60F">
        <w:t xml:space="preserve">při </w:t>
      </w:r>
      <w:r w:rsidR="2B8B04C1">
        <w:t>zpracování</w:t>
      </w:r>
      <w:r w:rsidR="53E1EB82">
        <w:t xml:space="preserve"> </w:t>
      </w:r>
      <w:r w:rsidRPr="227C70DC">
        <w:rPr>
          <w:b/>
          <w:bCs/>
        </w:rPr>
        <w:t>Program</w:t>
      </w:r>
      <w:r w:rsidR="2EB26134" w:rsidRPr="227C70DC">
        <w:rPr>
          <w:b/>
          <w:bCs/>
        </w:rPr>
        <w:t>ů</w:t>
      </w:r>
      <w:r>
        <w:t xml:space="preserve"> vyhlašovan</w:t>
      </w:r>
      <w:r w:rsidR="4498B260">
        <w:t>ých</w:t>
      </w:r>
      <w:r>
        <w:t xml:space="preserve"> Zlínským krajem a schvalovan</w:t>
      </w:r>
      <w:r w:rsidR="04C421A3">
        <w:t>ých</w:t>
      </w:r>
      <w:r>
        <w:t xml:space="preserve"> Radou Zlínského kraje na financování sociálních služeb z prostředků dotace poskytnuté MPSV kraji, z vlastních finančních prostředků, z dotace </w:t>
      </w:r>
      <w:r>
        <w:rPr>
          <w:spacing w:val="-2"/>
        </w:rPr>
        <w:t>poskytnuté v rámci individuálních projektů spolufinancovaných z Operačního programu Zaměstnanost</w:t>
      </w:r>
      <w:r w:rsidR="00EE49FE">
        <w:rPr>
          <w:spacing w:val="-2"/>
        </w:rPr>
        <w:t xml:space="preserve"> plus</w:t>
      </w:r>
      <w:r>
        <w:rPr>
          <w:spacing w:val="-2"/>
        </w:rPr>
        <w:t>,</w:t>
      </w:r>
      <w:r>
        <w:t xml:space="preserve"> případně z dalších individuálních projektů spolufinancovaných z fondů EU, případně z jiných veřejných zdrojů.</w:t>
      </w:r>
      <w:r>
        <w:rPr>
          <w:color w:val="000000" w:themeColor="text1"/>
        </w:rPr>
        <w:br w:type="page"/>
      </w:r>
    </w:p>
    <w:p w14:paraId="31CBF902" w14:textId="77777777" w:rsidR="00475554" w:rsidRDefault="00157B87">
      <w:pPr>
        <w:pStyle w:val="Nadpis1"/>
        <w:spacing w:before="120" w:after="120"/>
        <w:ind w:left="709" w:hanging="709"/>
        <w:jc w:val="both"/>
        <w:rPr>
          <w:rFonts w:asciiTheme="minorHAnsi" w:hAnsiTheme="minorHAnsi"/>
          <w:sz w:val="32"/>
          <w:szCs w:val="32"/>
        </w:rPr>
      </w:pPr>
      <w:bookmarkStart w:id="5" w:name="_Toc230777904"/>
      <w:r>
        <w:rPr>
          <w:rFonts w:asciiTheme="minorHAnsi" w:hAnsiTheme="minorHAnsi"/>
          <w:sz w:val="32"/>
          <w:szCs w:val="32"/>
        </w:rPr>
        <w:lastRenderedPageBreak/>
        <w:t>Legislativní rámec</w:t>
      </w:r>
      <w:bookmarkEnd w:id="5"/>
      <w:r>
        <w:rPr>
          <w:rFonts w:asciiTheme="minorHAnsi" w:hAnsiTheme="minorHAnsi"/>
          <w:sz w:val="32"/>
          <w:szCs w:val="32"/>
        </w:rPr>
        <w:t xml:space="preserve"> </w:t>
      </w:r>
    </w:p>
    <w:p w14:paraId="791CA18F" w14:textId="77777777" w:rsidR="00475554" w:rsidRDefault="00475554">
      <w:pPr>
        <w:spacing w:before="120" w:after="120"/>
        <w:jc w:val="both"/>
      </w:pPr>
    </w:p>
    <w:p w14:paraId="5A6ED100" w14:textId="366C7956" w:rsidR="00475554" w:rsidRDefault="00157B87">
      <w:pPr>
        <w:pStyle w:val="Nadpis2"/>
        <w:spacing w:before="120" w:after="120"/>
        <w:ind w:left="709" w:hanging="709"/>
        <w:jc w:val="both"/>
        <w:rPr>
          <w:rFonts w:ascii="Calibri" w:hAnsi="Calibri"/>
          <w:sz w:val="28"/>
          <w:szCs w:val="28"/>
        </w:rPr>
      </w:pPr>
      <w:bookmarkStart w:id="6" w:name="_Toc230777905"/>
      <w:r>
        <w:rPr>
          <w:rFonts w:ascii="Calibri" w:hAnsi="Calibri"/>
          <w:sz w:val="28"/>
          <w:szCs w:val="28"/>
        </w:rPr>
        <w:t>Rozhodnutí SGEI</w:t>
      </w:r>
      <w:bookmarkEnd w:id="6"/>
    </w:p>
    <w:p w14:paraId="6854D61F" w14:textId="77777777" w:rsidR="00475554" w:rsidRDefault="00475554">
      <w:pPr>
        <w:spacing w:before="120" w:after="120"/>
        <w:jc w:val="both"/>
        <w:rPr>
          <w:rFonts w:eastAsia="Times New Roman" w:cs="Arial"/>
          <w:iCs/>
        </w:rPr>
      </w:pPr>
    </w:p>
    <w:p w14:paraId="19A75D66" w14:textId="77777777" w:rsidR="00475554" w:rsidRDefault="00157B87">
      <w:pPr>
        <w:spacing w:before="120" w:after="120"/>
        <w:jc w:val="both"/>
        <w:rPr>
          <w:rFonts w:eastAsia="Times New Roman" w:cs="Arial"/>
          <w:iCs/>
        </w:rPr>
      </w:pPr>
      <w:r>
        <w:rPr>
          <w:rFonts w:eastAsia="Times New Roman" w:cs="Arial"/>
          <w:iCs/>
        </w:rPr>
        <w:t>Ustanovení čl. 107 odst. 1 Smlouvy o fungování Evropské unie stanoví, že finanční podpory poskytované v jakékoliv formě státem nebo ze státních prostředků, které narušují nebo hrozí narušením soutěže tím, že zvýhodňují určité podniky nebo určitá odvětví výroby, jsou, pokud ovlivňují obchod mezi členskými státy, neslučitelné s vnitřním trhem, nestanoví-li smlouvy jinak.</w:t>
      </w:r>
    </w:p>
    <w:p w14:paraId="44B6C861" w14:textId="429D564A" w:rsidR="00475554" w:rsidRDefault="00157B87">
      <w:pPr>
        <w:spacing w:before="120" w:after="120"/>
        <w:jc w:val="both"/>
      </w:pPr>
      <w:r>
        <w:rPr>
          <w:rFonts w:eastAsia="Times New Roman" w:cs="Arial"/>
          <w:iCs/>
        </w:rPr>
        <w:t xml:space="preserve">Rozhodnutí </w:t>
      </w:r>
      <w:r w:rsidR="00617518">
        <w:rPr>
          <w:rFonts w:eastAsia="Times New Roman" w:cs="Arial"/>
          <w:iCs/>
        </w:rPr>
        <w:t xml:space="preserve">Komise </w:t>
      </w:r>
      <w:r w:rsidR="00617518" w:rsidRPr="00FD2CEF">
        <w:rPr>
          <w:rFonts w:eastAsia="Times New Roman" w:cs="Arial"/>
          <w:iCs/>
          <w:highlight w:val="yellow"/>
        </w:rPr>
        <w:t xml:space="preserve">(EU) 2025/2630 </w:t>
      </w:r>
      <w:r w:rsidRPr="00FD2CEF">
        <w:rPr>
          <w:highlight w:val="yellow"/>
        </w:rPr>
        <w:t xml:space="preserve">ze dne </w:t>
      </w:r>
      <w:r w:rsidR="0049580E" w:rsidRPr="00FD2CEF">
        <w:rPr>
          <w:highlight w:val="yellow"/>
        </w:rPr>
        <w:t>16</w:t>
      </w:r>
      <w:r w:rsidRPr="00FD2CEF">
        <w:rPr>
          <w:highlight w:val="yellow"/>
        </w:rPr>
        <w:t xml:space="preserve">. prosince </w:t>
      </w:r>
      <w:r w:rsidR="00B5367A" w:rsidRPr="00FD2CEF">
        <w:rPr>
          <w:highlight w:val="yellow"/>
        </w:rPr>
        <w:t>2025</w:t>
      </w:r>
      <w:r w:rsidR="00B5367A">
        <w:t xml:space="preserve"> </w:t>
      </w:r>
      <w:r>
        <w:t xml:space="preserve">o použití čl. 106 odst. 2 Smlouvy o fungování Evropské unie </w:t>
      </w:r>
      <w:r>
        <w:rPr>
          <w:rFonts w:eastAsia="Times New Roman" w:cs="Arial"/>
          <w:iCs/>
        </w:rPr>
        <w:t>na státní podporu ve formě vyrovnávací platby za závazek veřejné služby udělené určitým podnikům pověřeným poskytováním služeb obecného hospodářského zájmu</w:t>
      </w:r>
      <w:r w:rsidR="009B5AE8">
        <w:rPr>
          <w:rFonts w:eastAsia="Times New Roman" w:cs="Arial"/>
          <w:iCs/>
        </w:rPr>
        <w:t xml:space="preserve"> a </w:t>
      </w:r>
      <w:r w:rsidR="009B5AE8" w:rsidRPr="00FC7FD5">
        <w:rPr>
          <w:rFonts w:eastAsia="Times New Roman" w:cs="Arial"/>
          <w:iCs/>
          <w:highlight w:val="yellow"/>
        </w:rPr>
        <w:t>o zrušení rozhodnutí</w:t>
      </w:r>
      <w:r w:rsidR="00D86DEB" w:rsidRPr="00FC7FD5">
        <w:rPr>
          <w:rFonts w:eastAsia="Times New Roman" w:cs="Arial"/>
          <w:iCs/>
          <w:highlight w:val="yellow"/>
        </w:rPr>
        <w:t xml:space="preserve"> 2012/21/EU</w:t>
      </w:r>
      <w:r>
        <w:rPr>
          <w:rFonts w:eastAsia="Times New Roman" w:cs="Arial"/>
          <w:iCs/>
        </w:rPr>
        <w:t xml:space="preserve"> (dále jen „Rozhodnutí SGEI“) stanovuje podmínky, za nichž je finanční podpora za závazek veřejné služby udělená určitým podnikům pověřeným poskytováním služby obecného hospodářského zájmu slučitelná s vnitřním trhem a vyňatá z oznamovací povinnosti vůči Evropské komisi.</w:t>
      </w:r>
    </w:p>
    <w:p w14:paraId="3331FF2A" w14:textId="77777777" w:rsidR="00475554" w:rsidRDefault="00157B87">
      <w:pPr>
        <w:spacing w:before="120" w:after="120"/>
        <w:jc w:val="both"/>
        <w:rPr>
          <w:rFonts w:eastAsia="Times New Roman" w:cs="Arial"/>
          <w:iCs/>
        </w:rPr>
      </w:pPr>
      <w:r>
        <w:rPr>
          <w:rFonts w:eastAsia="Times New Roman" w:cs="Arial"/>
          <w:iCs/>
        </w:rPr>
        <w:t xml:space="preserve">Evropská komise považuje za služby obecného hospodářského zájmu ty služby, jimiž se uspokojují </w:t>
      </w:r>
      <w:r>
        <w:rPr>
          <w:rFonts w:eastAsia="Times New Roman" w:cs="Arial"/>
          <w:iCs/>
          <w:spacing w:val="-2"/>
        </w:rPr>
        <w:t>například sociální služby, sociální potřeby, zdravotní a dlouhodobá péče, péče o děti, přístup na trh práce</w:t>
      </w:r>
      <w:r>
        <w:rPr>
          <w:rFonts w:eastAsia="Times New Roman" w:cs="Arial"/>
          <w:iCs/>
        </w:rPr>
        <w:t xml:space="preserve"> a opětovné začlenění do trhu práce, sociální bydlení a péče, sociální začleňování zranitelných skupin.</w:t>
      </w:r>
    </w:p>
    <w:p w14:paraId="2016C481" w14:textId="77777777" w:rsidR="00475554" w:rsidRDefault="00157B87">
      <w:pPr>
        <w:spacing w:before="120" w:after="120"/>
        <w:jc w:val="both"/>
        <w:rPr>
          <w:rFonts w:eastAsia="Times New Roman" w:cs="Arial"/>
          <w:iCs/>
        </w:rPr>
      </w:pPr>
      <w:r>
        <w:rPr>
          <w:rFonts w:eastAsia="Times New Roman" w:cs="Arial"/>
          <w:iCs/>
        </w:rPr>
        <w:t>Rozhodnutí SGEI stanovuje, že daný podnik musí být členským státem výslovně pověřen k poskytování určité služby obecného hospodářského zájmu a uvádí údaje, které musí být uvedeny v tomto pověření.</w:t>
      </w:r>
    </w:p>
    <w:p w14:paraId="247D3EF7" w14:textId="77777777" w:rsidR="00475554" w:rsidRDefault="00157B87">
      <w:pPr>
        <w:spacing w:before="120" w:after="120"/>
        <w:jc w:val="both"/>
      </w:pPr>
      <w:r>
        <w:t>Rozhodnutí SGEI v článku 4 upravuje náležitosti pověřovacího aktu. Poskytováním služby obecného hospodářského zájmu je dotčený podnik pověřen jedním nebo několika akty, jejichž formu si mohou upravit jednotlivé členské státy.</w:t>
      </w:r>
    </w:p>
    <w:p w14:paraId="73E542C0" w14:textId="77777777" w:rsidR="00475554" w:rsidRDefault="00157B87">
      <w:pPr>
        <w:spacing w:before="120" w:after="120"/>
        <w:jc w:val="both"/>
      </w:pPr>
      <w:r>
        <w:rPr>
          <w:rFonts w:eastAsia="Times New Roman" w:cs="Arial"/>
          <w:iCs/>
        </w:rPr>
        <w:t>Zlínským krajem je od roku 2015 poskytována finanční podpora poskytovatelům sociálních služeb s odkazem na Rozhodnutí SGEI ve formě vyrovnávací platby a je závazkem veřejné služby udělené určitým podnikům pověřeným poskytováním služeb obecného hospodářského zájmu.</w:t>
      </w:r>
    </w:p>
    <w:p w14:paraId="3D3EA25B" w14:textId="77777777" w:rsidR="00475554" w:rsidRDefault="00157B87">
      <w:pPr>
        <w:spacing w:before="120" w:after="120"/>
        <w:jc w:val="both"/>
      </w:pPr>
      <w:r>
        <w:rPr>
          <w:rFonts w:eastAsia="Times New Roman" w:cs="Arial"/>
          <w:iCs/>
        </w:rPr>
        <w:t xml:space="preserve">Tento přístup za předpokladu zařazení sociálních služeb mezi služby obecného hospodářského zájmu doporučuje i Úřad pro ochranu hospodářské soutěže (ÚOHS). Vhodnost tohoto postupu </w:t>
      </w:r>
      <w:r>
        <w:t>byla shledána i soudním znalcem</w:t>
      </w:r>
      <w:r>
        <w:rPr>
          <w:rStyle w:val="Znakapoznpodarou"/>
          <w:rFonts w:cs="Arial"/>
          <w:b/>
        </w:rPr>
        <w:footnoteReference w:id="2"/>
      </w:r>
      <w:r>
        <w:rPr>
          <w:rFonts w:cs="Arial"/>
          <w:b/>
        </w:rPr>
        <w:t>.</w:t>
      </w:r>
    </w:p>
    <w:p w14:paraId="26E75866" w14:textId="77777777" w:rsidR="00475554" w:rsidRDefault="00157B87">
      <w:pPr>
        <w:spacing w:before="120" w:after="120"/>
        <w:jc w:val="both"/>
      </w:pPr>
      <w:r>
        <w:t>V zájmu zachování kontinuity je stejný způsob poskytování finanční podpory poskytovatelům sociálních služeb, tj. formou vyrovnávací platby, zvolen i v následujících letech.</w:t>
      </w:r>
    </w:p>
    <w:p w14:paraId="143704A5" w14:textId="71945BF9" w:rsidR="00475554" w:rsidRDefault="00157B87">
      <w:pPr>
        <w:spacing w:before="120" w:after="120"/>
        <w:jc w:val="both"/>
      </w:pPr>
      <w:r>
        <w:t>Oblast sociálních služeb</w:t>
      </w:r>
      <w:r>
        <w:rPr>
          <w:i/>
        </w:rPr>
        <w:t xml:space="preserve"> </w:t>
      </w:r>
      <w:r>
        <w:t xml:space="preserve">upravuje obecně Nařízení Evropského parlamentu a Rady (EU) č. 1303/2013  ze dne 17. prosince 2013 o společných ustanoveních o Evropském fondu pro regionální rozvoj, Evropském sociálním fondu, Fondu soudržnosti, Evropském zemědělském fondu pro rozvoj venkova a Evropském námořním a rybářském fondu, o obecných ustanoveních o Evropském fondu pro regionální rozvoj, Evropském sociálním fondu, Fondu soudržnosti a Evropském námořním </w:t>
      </w:r>
      <w:r>
        <w:rPr>
          <w:spacing w:val="-2"/>
        </w:rPr>
        <w:t>a rybářském fondu a o zrušení nařízení Rady (ES) č. 1083/2006. Dále pak Nařízení Evropského</w:t>
      </w:r>
      <w:r>
        <w:t xml:space="preserve"> parlamentu a Rady (EU) č. </w:t>
      </w:r>
      <w:r w:rsidR="004E7FFB">
        <w:t>1304</w:t>
      </w:r>
      <w:r>
        <w:t>/2013 ze dne ze dne 17. prosince 2013 o Evropském sociálním fondu a o zrušení nařízení Rady (ES) č. 1081/2006 a další prováděcí nařízení a jiné právní akty.</w:t>
      </w:r>
    </w:p>
    <w:p w14:paraId="1DB9DB47" w14:textId="77777777" w:rsidR="00475554" w:rsidRDefault="00475554">
      <w:pPr>
        <w:spacing w:before="120" w:after="120"/>
        <w:jc w:val="both"/>
      </w:pPr>
    </w:p>
    <w:p w14:paraId="7E1DE225" w14:textId="77777777" w:rsidR="00475554" w:rsidRDefault="00157B87">
      <w:pPr>
        <w:spacing w:before="120" w:after="240"/>
        <w:jc w:val="both"/>
        <w:rPr>
          <w:b/>
          <w:color w:val="548DD4" w:themeColor="text2" w:themeTint="99"/>
        </w:rPr>
      </w:pPr>
      <w:r>
        <w:rPr>
          <w:b/>
          <w:color w:val="548DD4" w:themeColor="text2" w:themeTint="99"/>
        </w:rPr>
        <w:t>Stanovení vyrovnávací platby</w:t>
      </w:r>
    </w:p>
    <w:p w14:paraId="5B799DDA" w14:textId="16B26898" w:rsidR="00475554" w:rsidRDefault="00157B87">
      <w:pPr>
        <w:spacing w:before="120" w:after="240"/>
        <w:jc w:val="both"/>
      </w:pPr>
      <w:r>
        <w:t>Dle příslušných ustanovení Rozhodnutí SGEI výše vyrovnávací platby nepřesáhne rozsah nezbytný k pokrytí čistých nákladů vynaložených při plnění závazků veřejné služby. Výše vyrovnávací platby se pak v konečném důsledku vypočítává dle vzorce:</w:t>
      </w:r>
    </w:p>
    <w:tbl>
      <w:tblPr>
        <w:tblStyle w:val="Mkatabulky"/>
        <w:tblW w:w="9072" w:type="dxa"/>
        <w:tblInd w:w="-5" w:type="dxa"/>
        <w:tblLook w:val="04A0" w:firstRow="1" w:lastRow="0" w:firstColumn="1" w:lastColumn="0" w:noHBand="0" w:noVBand="1"/>
      </w:tblPr>
      <w:tblGrid>
        <w:gridCol w:w="9072"/>
      </w:tblGrid>
      <w:tr w:rsidR="00475554" w14:paraId="7A2547AA" w14:textId="77777777">
        <w:tc>
          <w:tcPr>
            <w:tcW w:w="9072" w:type="dxa"/>
            <w:tcBorders>
              <w:bottom w:val="single" w:sz="4" w:space="0" w:color="auto"/>
            </w:tcBorders>
          </w:tcPr>
          <w:p w14:paraId="63A98A23" w14:textId="77777777" w:rsidR="00475554" w:rsidRDefault="00157B87">
            <w:pPr>
              <w:pStyle w:val="Odstavecseseznamem"/>
              <w:spacing w:before="120" w:after="120" w:line="276" w:lineRule="auto"/>
              <w:ind w:left="0"/>
              <w:contextualSpacing w:val="0"/>
              <w:jc w:val="center"/>
              <w:rPr>
                <w:i/>
              </w:rPr>
            </w:pPr>
            <w:r>
              <w:rPr>
                <w:b/>
                <w:i/>
              </w:rPr>
              <w:t xml:space="preserve">Vyrovnávací platba </w:t>
            </w:r>
            <w:r>
              <w:rPr>
                <w:i/>
              </w:rPr>
              <w:t xml:space="preserve">= </w:t>
            </w:r>
            <w:r>
              <w:rPr>
                <w:b/>
                <w:i/>
              </w:rPr>
              <w:t xml:space="preserve">Náklady sociální služby </w:t>
            </w:r>
            <w:r>
              <w:rPr>
                <w:i/>
              </w:rPr>
              <w:t>mínus</w:t>
            </w:r>
            <w:r>
              <w:rPr>
                <w:b/>
                <w:i/>
              </w:rPr>
              <w:t xml:space="preserve"> Výnosy sociální služby</w:t>
            </w:r>
            <w:r>
              <w:rPr>
                <w:b/>
                <w:i/>
              </w:rPr>
              <w:br/>
              <w:t xml:space="preserve"> </w:t>
            </w:r>
            <w:r>
              <w:rPr>
                <w:i/>
              </w:rPr>
              <w:t>eventuálně včetně</w:t>
            </w:r>
            <w:r>
              <w:rPr>
                <w:b/>
                <w:i/>
              </w:rPr>
              <w:t xml:space="preserve"> přiměřeného zisku sociální služby</w:t>
            </w:r>
            <w:r>
              <w:rPr>
                <w:rStyle w:val="Znakapoznpodarou"/>
                <w:b/>
                <w:i/>
              </w:rPr>
              <w:footnoteReference w:id="3"/>
            </w:r>
          </w:p>
        </w:tc>
      </w:tr>
    </w:tbl>
    <w:p w14:paraId="033B34A1" w14:textId="16053A57" w:rsidR="00475554" w:rsidRDefault="00157B87">
      <w:pPr>
        <w:spacing w:before="240" w:after="120"/>
        <w:jc w:val="both"/>
      </w:pPr>
      <w:r>
        <w:t>Poskytovatel finanční podpory si může stanovit maximální limit, který na vyrovnávací platbu poskytovateli SGEI uhradí.</w:t>
      </w:r>
      <w:r w:rsidR="00100547">
        <w:rPr>
          <w:rStyle w:val="Znakapoznpodarou"/>
        </w:rPr>
        <w:footnoteReference w:id="4"/>
      </w:r>
    </w:p>
    <w:p w14:paraId="115EBF4F" w14:textId="77777777" w:rsidR="00475554" w:rsidRDefault="00475554">
      <w:pPr>
        <w:spacing w:before="120" w:after="120"/>
        <w:jc w:val="both"/>
      </w:pPr>
    </w:p>
    <w:p w14:paraId="7ADE03BA" w14:textId="77777777" w:rsidR="00475554" w:rsidRDefault="00157B87">
      <w:pPr>
        <w:pStyle w:val="Nadpis2"/>
        <w:spacing w:before="120" w:after="120"/>
        <w:ind w:left="709" w:hanging="709"/>
        <w:jc w:val="both"/>
        <w:rPr>
          <w:rFonts w:ascii="Calibri" w:hAnsi="Calibri"/>
          <w:sz w:val="28"/>
          <w:szCs w:val="28"/>
        </w:rPr>
      </w:pPr>
      <w:bookmarkStart w:id="7" w:name="_Toc445826281"/>
      <w:bookmarkStart w:id="8" w:name="_Toc230777906"/>
      <w:bookmarkEnd w:id="7"/>
      <w:r w:rsidRPr="00077C41">
        <w:rPr>
          <w:rFonts w:ascii="Calibri" w:hAnsi="Calibri"/>
          <w:sz w:val="28"/>
          <w:szCs w:val="28"/>
        </w:rPr>
        <w:t>Zákon o sociálních službách a</w:t>
      </w:r>
      <w:r>
        <w:rPr>
          <w:rFonts w:ascii="Calibri" w:hAnsi="Calibri"/>
          <w:sz w:val="28"/>
          <w:szCs w:val="28"/>
        </w:rPr>
        <w:t xml:space="preserve"> související předpisy</w:t>
      </w:r>
      <w:bookmarkEnd w:id="8"/>
    </w:p>
    <w:p w14:paraId="3241F919" w14:textId="77777777" w:rsidR="00475554" w:rsidRDefault="00475554">
      <w:pPr>
        <w:spacing w:before="120" w:after="120"/>
        <w:jc w:val="both"/>
      </w:pPr>
    </w:p>
    <w:p w14:paraId="27FDF7BE" w14:textId="08345631" w:rsidR="00475554" w:rsidRDefault="00157B87">
      <w:pPr>
        <w:spacing w:before="120" w:after="120"/>
        <w:jc w:val="both"/>
      </w:pPr>
      <w:r>
        <w:t>Povinnost poskytovat finanční prostředky pro poskytovatele sociálních služeb</w:t>
      </w:r>
      <w:r>
        <w:rPr>
          <w:b/>
        </w:rPr>
        <w:t xml:space="preserve"> v souladu s pravidly EU </w:t>
      </w:r>
      <w:r>
        <w:t xml:space="preserve">ukládá krajům </w:t>
      </w:r>
      <w:r>
        <w:rPr>
          <w:b/>
        </w:rPr>
        <w:t xml:space="preserve">zákon </w:t>
      </w:r>
      <w:r w:rsidR="00077C41">
        <w:rPr>
          <w:b/>
        </w:rPr>
        <w:t xml:space="preserve">č. 108/2006 </w:t>
      </w:r>
      <w:r w:rsidR="00077C41" w:rsidRPr="00077C41">
        <w:rPr>
          <w:b/>
        </w:rPr>
        <w:t>Sb.</w:t>
      </w:r>
      <w:r>
        <w:t xml:space="preserve"> Dle § 101a odst. 2 </w:t>
      </w:r>
      <w:r w:rsidR="00077C41">
        <w:t xml:space="preserve">tohoto </w:t>
      </w:r>
      <w:r>
        <w:t xml:space="preserve">zákona „Kraj rozhoduje podle zvláštního právního předpisu (zákon </w:t>
      </w:r>
      <w:r w:rsidR="00077C41">
        <w:t>č. 250/2000 Sb.</w:t>
      </w:r>
      <w:r>
        <w:t xml:space="preserve">) a předpisů Evropské unie o veřejné podpoře o poskytnutí finančních prostředků z dotace poskytovatelům sociálních služeb, kteří jsou zapsáni v registru podle § 85 odst. 1 zákona </w:t>
      </w:r>
      <w:r w:rsidR="00077C41">
        <w:t>č. 108/2006 Sb.</w:t>
      </w:r>
      <w:r>
        <w:t>, popřípadě o zadání veřejné zakázky na poskytování sociálních služeb.“</w:t>
      </w:r>
    </w:p>
    <w:p w14:paraId="55160EB0" w14:textId="6C21FB6E" w:rsidR="00475554" w:rsidRDefault="00157B87">
      <w:pPr>
        <w:spacing w:before="120" w:after="120"/>
        <w:jc w:val="both"/>
      </w:pPr>
      <w:r>
        <w:rPr>
          <w:b/>
        </w:rPr>
        <w:t xml:space="preserve">Nařízení vlády č. 98/2015 Sb., o provedení § 101a zákona </w:t>
      </w:r>
      <w:r w:rsidR="000C21B2">
        <w:rPr>
          <w:b/>
        </w:rPr>
        <w:t>č. 108/2006 Sb.</w:t>
      </w:r>
      <w:r w:rsidR="000C21B2">
        <w:t>,</w:t>
      </w:r>
      <w:r>
        <w:t xml:space="preserve"> upravuje podmínky použití finančních prostředků ze strany kraje, termín pro podání žádosti kraje a taxativně vymezuje</w:t>
      </w:r>
      <w:r w:rsidR="00FD3FFC">
        <w:t xml:space="preserve"> </w:t>
      </w:r>
      <w:r>
        <w:t>strukturu informací obsažených v popisu rozdělení a čerpání dotace, který je nedílnou součástí Žádosti kraje o poskytnutí dotace ze státního rozpočtu. Popis obsahuje:</w:t>
      </w:r>
    </w:p>
    <w:p w14:paraId="4A3E4789" w14:textId="15CFDF67" w:rsidR="00475554" w:rsidRDefault="00157B87">
      <w:pPr>
        <w:pStyle w:val="Odstavecseseznamem"/>
        <w:numPr>
          <w:ilvl w:val="0"/>
          <w:numId w:val="19"/>
        </w:numPr>
        <w:spacing w:before="120" w:after="120"/>
        <w:ind w:left="426" w:hanging="426"/>
        <w:contextualSpacing w:val="0"/>
        <w:jc w:val="both"/>
      </w:pPr>
      <w:r>
        <w:t xml:space="preserve">Způsob výpočtu optimální výše finanční podpory, která se stanoví bez ohledu na výši disponibilních zdrojů státního rozpočtu na základě analýzy nákladů a výnosů jednotlivých </w:t>
      </w:r>
      <w:r w:rsidR="00512E83" w:rsidRPr="00280A8B">
        <w:rPr>
          <w:highlight w:val="yellow"/>
        </w:rPr>
        <w:t>druhů</w:t>
      </w:r>
      <w:r w:rsidR="00512E83">
        <w:t xml:space="preserve"> </w:t>
      </w:r>
      <w:r>
        <w:t>sociálních služeb provedené na základě údajů za předchozí kalendářní rok nebo roky.</w:t>
      </w:r>
    </w:p>
    <w:p w14:paraId="524B2531" w14:textId="77777777" w:rsidR="00475554" w:rsidRDefault="00157B87">
      <w:pPr>
        <w:pStyle w:val="Odstavecseseznamem"/>
        <w:spacing w:before="120" w:after="120"/>
        <w:ind w:left="426"/>
        <w:contextualSpacing w:val="0"/>
        <w:jc w:val="both"/>
      </w:pPr>
      <w:r>
        <w:t>Způsob výpočtu na základě analýz nákladů a výnosů je obsažen v článcích 3 až 5 tohoto dokumentu.</w:t>
      </w:r>
    </w:p>
    <w:p w14:paraId="27DE9B26" w14:textId="32A6A539" w:rsidR="00475554" w:rsidRDefault="00157B87" w:rsidP="5E9F2BA3">
      <w:pPr>
        <w:pStyle w:val="Odstavecseseznamem"/>
        <w:numPr>
          <w:ilvl w:val="0"/>
          <w:numId w:val="19"/>
        </w:numPr>
        <w:spacing w:before="120" w:after="120"/>
        <w:ind w:left="426" w:hanging="426"/>
        <w:jc w:val="both"/>
      </w:pPr>
      <w:r>
        <w:t>Způsob stanovení reálné výše finanční podpory jednotlivým sociálním službám, který se uplatní v případě, kdy výše dotace přidělené kraji rozhodnutím MPSV bude nižší než krajem požadovaná výše dotace.</w:t>
      </w:r>
    </w:p>
    <w:p w14:paraId="21F2CC2F" w14:textId="77777777" w:rsidR="00475554" w:rsidRDefault="00157B87">
      <w:pPr>
        <w:pStyle w:val="Odstavecseseznamem"/>
        <w:spacing w:before="120" w:after="120"/>
        <w:ind w:left="426"/>
        <w:contextualSpacing w:val="0"/>
        <w:jc w:val="both"/>
      </w:pPr>
      <w:r>
        <w:t>Způsob stanovení reálné výše finanční podpory obsahuje článek 6 tohoto dokumentu.</w:t>
      </w:r>
    </w:p>
    <w:p w14:paraId="7A8FF692" w14:textId="77777777" w:rsidR="00475554" w:rsidRPr="009E401A" w:rsidRDefault="00157B87">
      <w:pPr>
        <w:pStyle w:val="Odstavecseseznamem"/>
        <w:numPr>
          <w:ilvl w:val="0"/>
          <w:numId w:val="19"/>
        </w:numPr>
        <w:spacing w:before="120" w:after="120"/>
        <w:ind w:left="426" w:hanging="426"/>
        <w:contextualSpacing w:val="0"/>
        <w:jc w:val="both"/>
      </w:pPr>
      <w:r w:rsidRPr="009E401A">
        <w:t>Určení, zda finanční prostředky budou poskytovatelům sociálních služeb poskytnuty formou vyrovnávací platby nebo na základě veřejné zakázky.</w:t>
      </w:r>
    </w:p>
    <w:p w14:paraId="7FF33486" w14:textId="77777777" w:rsidR="00475554" w:rsidRDefault="00157B87">
      <w:pPr>
        <w:pStyle w:val="Odstavecseseznamem"/>
        <w:numPr>
          <w:ilvl w:val="0"/>
          <w:numId w:val="19"/>
        </w:numPr>
        <w:spacing w:before="120" w:after="120"/>
        <w:ind w:left="426" w:hanging="426"/>
        <w:contextualSpacing w:val="0"/>
        <w:jc w:val="both"/>
      </w:pPr>
      <w:r>
        <w:t>Stanovení termínů a výše jednotlivých splátek finanční podpory poskytovatelům sociálních služeb, včetně tvorby rezervy, jejího účelu, výše a důvodů jejího vytvoření obsahují články 8 a 9 tohoto dokumentu.</w:t>
      </w:r>
    </w:p>
    <w:p w14:paraId="3032F1B1" w14:textId="77777777" w:rsidR="00475554" w:rsidRDefault="00475554">
      <w:pPr>
        <w:spacing w:before="120" w:after="120"/>
        <w:jc w:val="both"/>
      </w:pPr>
    </w:p>
    <w:p w14:paraId="2D6ED444" w14:textId="035F27E7" w:rsidR="00475554" w:rsidRDefault="00157B87">
      <w:pPr>
        <w:autoSpaceDE w:val="0"/>
        <w:autoSpaceDN w:val="0"/>
        <w:adjustRightInd w:val="0"/>
        <w:spacing w:before="120" w:after="120"/>
        <w:jc w:val="both"/>
        <w:rPr>
          <w:color w:val="000000" w:themeColor="text1"/>
        </w:rPr>
      </w:pPr>
      <w:r>
        <w:rPr>
          <w:b/>
          <w:color w:val="000000" w:themeColor="text1"/>
        </w:rPr>
        <w:t xml:space="preserve">Zákon </w:t>
      </w:r>
      <w:r w:rsidR="00077C41">
        <w:rPr>
          <w:b/>
          <w:color w:val="000000" w:themeColor="text1"/>
        </w:rPr>
        <w:t>č. 250/2000 Sb.</w:t>
      </w:r>
      <w:r>
        <w:rPr>
          <w:b/>
          <w:color w:val="000000" w:themeColor="text1"/>
        </w:rPr>
        <w:t xml:space="preserve"> </w:t>
      </w:r>
      <w:r>
        <w:rPr>
          <w:color w:val="000000" w:themeColor="text1"/>
        </w:rPr>
        <w:t xml:space="preserve">definuje formy poskytování finančních prostředků z rozpočtů územních samosprávných celků. Na účel stanovený zákonem </w:t>
      </w:r>
      <w:r w:rsidR="00077C41">
        <w:rPr>
          <w:color w:val="000000" w:themeColor="text1"/>
        </w:rPr>
        <w:t>č. 108/2006 Sb.</w:t>
      </w:r>
      <w:r>
        <w:rPr>
          <w:color w:val="000000" w:themeColor="text1"/>
        </w:rPr>
        <w:t xml:space="preserve"> jsou poskytovány </w:t>
      </w:r>
      <w:r w:rsidR="006E08B2" w:rsidRPr="00160B8D">
        <w:rPr>
          <w:color w:val="000000" w:themeColor="text1"/>
          <w:highlight w:val="yellow"/>
        </w:rPr>
        <w:t>poskytovatelům sociálních služeb</w:t>
      </w:r>
      <w:r w:rsidR="006E08B2" w:rsidRPr="006E08B2">
        <w:rPr>
          <w:color w:val="000000" w:themeColor="text1"/>
        </w:rPr>
        <w:t xml:space="preserve"> </w:t>
      </w:r>
      <w:r>
        <w:rPr>
          <w:color w:val="000000" w:themeColor="text1"/>
        </w:rPr>
        <w:t xml:space="preserve">finanční prostředky formou dotace </w:t>
      </w:r>
      <w:r w:rsidR="006E08B2" w:rsidRPr="009A16C7">
        <w:rPr>
          <w:color w:val="000000" w:themeColor="text1"/>
          <w:highlight w:val="yellow"/>
        </w:rPr>
        <w:t xml:space="preserve">(§ 10a zákona </w:t>
      </w:r>
      <w:r w:rsidR="000C21B2" w:rsidRPr="009A16C7">
        <w:rPr>
          <w:color w:val="000000" w:themeColor="text1"/>
          <w:highlight w:val="yellow"/>
        </w:rPr>
        <w:t>č. 250/2000 Sb.)</w:t>
      </w:r>
      <w:r w:rsidR="006E08B2" w:rsidRPr="009A16C7">
        <w:rPr>
          <w:color w:val="000000" w:themeColor="text1"/>
          <w:highlight w:val="yellow"/>
        </w:rPr>
        <w:t xml:space="preserve">, nebo formou účelového příspěvku na provoz (§ 28 zákona </w:t>
      </w:r>
      <w:r w:rsidR="000C21B2" w:rsidRPr="009A16C7">
        <w:rPr>
          <w:color w:val="000000" w:themeColor="text1"/>
          <w:highlight w:val="yellow"/>
        </w:rPr>
        <w:t xml:space="preserve">č. 250/2000 Sb.), </w:t>
      </w:r>
      <w:r w:rsidR="006E08B2" w:rsidRPr="009A16C7">
        <w:rPr>
          <w:color w:val="000000" w:themeColor="text1"/>
          <w:highlight w:val="yellow"/>
        </w:rPr>
        <w:t>podle toho, zda se jedná o příspěvkové organizace Zlínského kraje nebo jiné poskytovatele sociálních služeb</w:t>
      </w:r>
      <w:r w:rsidR="006E08B2" w:rsidRPr="006E08B2">
        <w:rPr>
          <w:color w:val="000000" w:themeColor="text1"/>
        </w:rPr>
        <w:t>.</w:t>
      </w:r>
    </w:p>
    <w:p w14:paraId="55ABC7A3" w14:textId="79EFD6AA" w:rsidR="00D11426" w:rsidRDefault="00D11426">
      <w:pPr>
        <w:autoSpaceDE w:val="0"/>
        <w:autoSpaceDN w:val="0"/>
        <w:adjustRightInd w:val="0"/>
        <w:spacing w:before="120" w:after="120"/>
        <w:jc w:val="both"/>
        <w:rPr>
          <w:color w:val="000000" w:themeColor="text1"/>
        </w:rPr>
      </w:pPr>
      <w:r w:rsidRPr="009A16C7">
        <w:rPr>
          <w:color w:val="000000" w:themeColor="text1"/>
          <w:highlight w:val="yellow"/>
        </w:rPr>
        <w:t>Obsah a zveřejnění programů pro poskytování</w:t>
      </w:r>
      <w:r w:rsidR="00AA59CD" w:rsidRPr="009A16C7">
        <w:rPr>
          <w:color w:val="000000" w:themeColor="text1"/>
          <w:highlight w:val="yellow"/>
        </w:rPr>
        <w:t xml:space="preserve"> dotací</w:t>
      </w:r>
      <w:r w:rsidRPr="009A16C7">
        <w:rPr>
          <w:color w:val="000000" w:themeColor="text1"/>
          <w:highlight w:val="yellow"/>
        </w:rPr>
        <w:t xml:space="preserve"> nebo návratných finančních výpomocí se řídí § 10c zákona o rozpočtových pravidlech územních rozpočtů.</w:t>
      </w:r>
      <w:r>
        <w:rPr>
          <w:color w:val="000000" w:themeColor="text1"/>
        </w:rPr>
        <w:t xml:space="preserve"> </w:t>
      </w:r>
    </w:p>
    <w:p w14:paraId="0FD1FAB0" w14:textId="0DB436ED" w:rsidR="00475554" w:rsidRDefault="00157B87">
      <w:pPr>
        <w:autoSpaceDE w:val="0"/>
        <w:autoSpaceDN w:val="0"/>
        <w:adjustRightInd w:val="0"/>
        <w:spacing w:before="120" w:after="120"/>
        <w:jc w:val="both"/>
        <w:rPr>
          <w:color w:val="000000" w:themeColor="text1"/>
        </w:rPr>
      </w:pPr>
      <w:r>
        <w:rPr>
          <w:color w:val="000000" w:themeColor="text1"/>
        </w:rPr>
        <w:t>V případě finančních prostředků, které Zlínský kraj získá v rámci individuálních projektů spolufinancovaných z Operačního programu Zaměstnanost</w:t>
      </w:r>
      <w:r w:rsidR="00EE49FE">
        <w:rPr>
          <w:color w:val="000000" w:themeColor="text1"/>
        </w:rPr>
        <w:t xml:space="preserve"> plus</w:t>
      </w:r>
      <w:r>
        <w:rPr>
          <w:color w:val="000000" w:themeColor="text1"/>
        </w:rPr>
        <w:t>, případně dalších individuálních projektů spolufinancovaných z fondů EU, případně z jiných veřejných zdrojů, se financování řídí pravidly, které stanovuje příslušný Program.</w:t>
      </w:r>
      <w:r w:rsidR="002255B0">
        <w:rPr>
          <w:color w:val="000000" w:themeColor="text1"/>
        </w:rPr>
        <w:t xml:space="preserve"> </w:t>
      </w:r>
    </w:p>
    <w:p w14:paraId="058AFE71" w14:textId="77777777" w:rsidR="00475554" w:rsidRDefault="00475554">
      <w:pPr>
        <w:autoSpaceDE w:val="0"/>
        <w:autoSpaceDN w:val="0"/>
        <w:adjustRightInd w:val="0"/>
        <w:spacing w:before="120" w:after="120"/>
        <w:jc w:val="both"/>
        <w:rPr>
          <w:color w:val="000000" w:themeColor="text1"/>
        </w:rPr>
      </w:pPr>
    </w:p>
    <w:p w14:paraId="404FF9FC" w14:textId="77777777" w:rsidR="00475554" w:rsidRDefault="00157B87">
      <w:pPr>
        <w:spacing w:before="120" w:after="120"/>
        <w:jc w:val="both"/>
        <w:rPr>
          <w:color w:val="000000" w:themeColor="text1"/>
        </w:rPr>
      </w:pPr>
      <w:r>
        <w:rPr>
          <w:color w:val="000000" w:themeColor="text1"/>
        </w:rPr>
        <w:br w:type="page"/>
      </w:r>
    </w:p>
    <w:p w14:paraId="57361695" w14:textId="668CEB53" w:rsidR="00475554" w:rsidRDefault="00D6050C">
      <w:pPr>
        <w:pStyle w:val="Nadpis1"/>
        <w:spacing w:before="120" w:after="120"/>
        <w:ind w:left="709" w:hanging="709"/>
        <w:jc w:val="both"/>
        <w:rPr>
          <w:rFonts w:asciiTheme="minorHAnsi" w:hAnsiTheme="minorHAnsi"/>
          <w:sz w:val="32"/>
          <w:szCs w:val="32"/>
        </w:rPr>
      </w:pPr>
      <w:bookmarkStart w:id="9" w:name="_Toc445826283"/>
      <w:bookmarkStart w:id="10" w:name="_Toc445826284"/>
      <w:bookmarkStart w:id="11" w:name="_Toc445826285"/>
      <w:bookmarkStart w:id="12" w:name="_Toc445826286"/>
      <w:bookmarkStart w:id="13" w:name="_Toc445826287"/>
      <w:bookmarkStart w:id="14" w:name="_Toc386625195"/>
      <w:bookmarkStart w:id="15" w:name="_Toc386625339"/>
      <w:bookmarkStart w:id="16" w:name="_Toc381693821"/>
      <w:bookmarkStart w:id="17" w:name="_Toc381728868"/>
      <w:bookmarkStart w:id="18" w:name="_Toc381732674"/>
      <w:bookmarkStart w:id="19" w:name="_Toc386625340"/>
      <w:bookmarkStart w:id="20" w:name="_Toc385925688"/>
      <w:bookmarkStart w:id="21" w:name="_Toc230777907"/>
      <w:bookmarkEnd w:id="9"/>
      <w:bookmarkEnd w:id="10"/>
      <w:bookmarkEnd w:id="11"/>
      <w:bookmarkEnd w:id="12"/>
      <w:bookmarkEnd w:id="13"/>
      <w:bookmarkEnd w:id="14"/>
      <w:bookmarkEnd w:id="15"/>
      <w:bookmarkEnd w:id="16"/>
      <w:bookmarkEnd w:id="17"/>
      <w:bookmarkEnd w:id="18"/>
      <w:r>
        <w:rPr>
          <w:rFonts w:asciiTheme="minorHAnsi" w:hAnsiTheme="minorHAnsi"/>
          <w:sz w:val="32"/>
          <w:szCs w:val="32"/>
        </w:rPr>
        <w:lastRenderedPageBreak/>
        <w:t>S</w:t>
      </w:r>
      <w:r w:rsidR="00157B87">
        <w:rPr>
          <w:rFonts w:asciiTheme="minorHAnsi" w:hAnsiTheme="minorHAnsi"/>
          <w:sz w:val="32"/>
          <w:szCs w:val="32"/>
        </w:rPr>
        <w:t>ystém vyrovnávací platby pro sociální služby ve Zlínském kraji</w:t>
      </w:r>
      <w:bookmarkEnd w:id="19"/>
      <w:bookmarkEnd w:id="20"/>
      <w:bookmarkEnd w:id="21"/>
    </w:p>
    <w:p w14:paraId="510D2A65" w14:textId="77777777" w:rsidR="00475554" w:rsidRDefault="00475554">
      <w:pPr>
        <w:spacing w:before="120" w:after="120"/>
        <w:jc w:val="both"/>
      </w:pPr>
    </w:p>
    <w:p w14:paraId="01203D7C" w14:textId="4F6B4F39" w:rsidR="00475554" w:rsidRDefault="00157B87">
      <w:pPr>
        <w:spacing w:before="120" w:after="120"/>
        <w:jc w:val="both"/>
        <w:rPr>
          <w:spacing w:val="-4"/>
        </w:rPr>
      </w:pPr>
      <w:r>
        <w:t>Základní principy financování sociálních služeb vychází z rámce Střednědobého plánu rozvoje sociálních služeb ve Zlínském kraji pro období 202</w:t>
      </w:r>
      <w:r w:rsidR="00DB3CC5">
        <w:t>6</w:t>
      </w:r>
      <w:r>
        <w:t>–202</w:t>
      </w:r>
      <w:r w:rsidR="00DB3CC5">
        <w:t>8</w:t>
      </w:r>
      <w:r>
        <w:t xml:space="preserve"> </w:t>
      </w:r>
      <w:r>
        <w:rPr>
          <w:spacing w:val="-4"/>
        </w:rPr>
        <w:t>a Akčního plánu pro daný rok.</w:t>
      </w:r>
    </w:p>
    <w:p w14:paraId="4CE37AE3" w14:textId="77777777" w:rsidR="00475554" w:rsidRDefault="00157B87">
      <w:pPr>
        <w:spacing w:before="120" w:after="120"/>
        <w:jc w:val="both"/>
      </w:pPr>
      <w:r>
        <w:t>Ke stanovení maximálních částek vyrovnávacích plateb (dále jen „vyrovnávací platba“) dochází na základě analýz nákladů na poskytování sociálních služeb z dat poskytovatelů sociálních služeb, která jsou vykazována ve webové aplikaci Zlínského kraje – Krajský informační systém sociálních služeb (dále jen „webová aplikace KISSoS“). Protože je financování sociálních služeb ze své povahy vícezdrojové, je jejich nezbytnou součástí i provedení analýz výnosů, které se na krytí nákladů podílejí tak, aby bylo možné definovat čisté náklady, na jejichž financování by se měly podílet veřejné zdroje v podobě vyrovnávací platby.</w:t>
      </w:r>
    </w:p>
    <w:p w14:paraId="4DEE4330" w14:textId="77777777" w:rsidR="00475554" w:rsidRDefault="00475554">
      <w:pPr>
        <w:spacing w:before="120" w:after="120"/>
        <w:jc w:val="both"/>
      </w:pPr>
    </w:p>
    <w:p w14:paraId="48945CE2" w14:textId="77777777" w:rsidR="00475554" w:rsidRDefault="00157B87">
      <w:pPr>
        <w:pStyle w:val="Nadpis2"/>
        <w:spacing w:before="120" w:after="120"/>
        <w:ind w:left="709" w:hanging="709"/>
        <w:jc w:val="both"/>
        <w:rPr>
          <w:rFonts w:asciiTheme="minorHAnsi" w:hAnsiTheme="minorHAnsi"/>
          <w:sz w:val="28"/>
          <w:szCs w:val="28"/>
        </w:rPr>
      </w:pPr>
      <w:bookmarkStart w:id="22" w:name="_Toc386625343"/>
      <w:bookmarkStart w:id="23" w:name="_Toc385925691"/>
      <w:bookmarkStart w:id="24" w:name="_Toc230777908"/>
      <w:r>
        <w:rPr>
          <w:rFonts w:asciiTheme="minorHAnsi" w:hAnsiTheme="minorHAnsi"/>
          <w:sz w:val="28"/>
          <w:szCs w:val="28"/>
        </w:rPr>
        <w:t>Jednotná datová základna k analýze obvyklých nákladů pro stanovení vyrovnávací platby</w:t>
      </w:r>
      <w:bookmarkEnd w:id="22"/>
      <w:bookmarkEnd w:id="23"/>
      <w:bookmarkEnd w:id="24"/>
    </w:p>
    <w:p w14:paraId="7EBC18C6" w14:textId="77777777" w:rsidR="00475554" w:rsidRDefault="00475554">
      <w:pPr>
        <w:spacing w:before="120" w:after="120"/>
        <w:jc w:val="both"/>
      </w:pPr>
    </w:p>
    <w:p w14:paraId="110F597F" w14:textId="77777777" w:rsidR="00475554" w:rsidRDefault="00157B87">
      <w:pPr>
        <w:spacing w:before="120" w:after="120"/>
        <w:jc w:val="both"/>
      </w:pPr>
      <w:r>
        <w:t xml:space="preserve">Poskytovatelé sociálních služeb pravidelně vykazují data prostřednictvím webové aplikace KISSoS. </w:t>
      </w:r>
      <w:r>
        <w:rPr>
          <w:color w:val="000000" w:themeColor="text1"/>
        </w:rPr>
        <w:t xml:space="preserve">Ekonomické údaje o skutečných nákladech a výnosech, které poskytovatelé sociálních služeb </w:t>
      </w:r>
      <w:r>
        <w:rPr>
          <w:rFonts w:ascii="Calibri" w:hAnsi="Calibri"/>
          <w:color w:val="000000" w:themeColor="text1"/>
        </w:rPr>
        <w:t>do webové aplikace KISSoS uvádějí, musí vycházet z dat účetnictví vedeného dle platné legislativy.</w:t>
      </w:r>
    </w:p>
    <w:p w14:paraId="14E91077" w14:textId="77777777" w:rsidR="00475554" w:rsidRDefault="00157B87">
      <w:pPr>
        <w:spacing w:before="120" w:after="120"/>
        <w:jc w:val="both"/>
      </w:pPr>
      <w:r>
        <w:t>Data jsou shromažďována každoročně, a to za období uplynulého roku (skutečnost).</w:t>
      </w:r>
    </w:p>
    <w:p w14:paraId="4C2968F7" w14:textId="28944382" w:rsidR="00475554" w:rsidRDefault="00157B87">
      <w:pPr>
        <w:spacing w:before="120" w:after="120"/>
        <w:jc w:val="both"/>
      </w:pPr>
      <w:r>
        <w:t xml:space="preserve">Za jednotlivé druhy sociálních služeb jsou data do webové aplikace KISSoS vykazována v jednotné struktuře podle </w:t>
      </w:r>
      <w:r w:rsidR="00940CE1">
        <w:t xml:space="preserve">schválené </w:t>
      </w:r>
      <w:r>
        <w:t>„</w:t>
      </w:r>
      <w:r>
        <w:rPr>
          <w:rFonts w:eastAsia="Times New Roman" w:cs="Times New Roman"/>
          <w:color w:val="000000" w:themeColor="text1"/>
          <w:lang w:eastAsia="cs-CZ"/>
        </w:rPr>
        <w:t>Metodiky pro sběr dat za jednotlivé sociální služby poskytované na území Zlínského kraje“ (dále jen „Metodika KISSoS“)</w:t>
      </w:r>
      <w:r w:rsidR="00881DF4">
        <w:rPr>
          <w:rFonts w:eastAsia="Times New Roman" w:cs="Times New Roman"/>
          <w:color w:val="000000" w:themeColor="text1"/>
          <w:lang w:eastAsia="cs-CZ"/>
        </w:rPr>
        <w:t xml:space="preserve"> pro daný rok, včetně jejich příloh</w:t>
      </w:r>
      <w:r>
        <w:rPr>
          <w:rFonts w:eastAsia="Times New Roman" w:cs="Times New Roman"/>
          <w:color w:val="000000" w:themeColor="text1"/>
          <w:lang w:eastAsia="cs-CZ"/>
        </w:rPr>
        <w:t xml:space="preserve">. Metodika KISSoS </w:t>
      </w:r>
      <w:r>
        <w:t>byla vytvořena ve spolupráci s poskytovateli sociálních služeb.</w:t>
      </w:r>
    </w:p>
    <w:p w14:paraId="6BACAD5C" w14:textId="77777777" w:rsidR="00475554" w:rsidRDefault="00475554">
      <w:pPr>
        <w:spacing w:before="120" w:after="120"/>
        <w:jc w:val="both"/>
      </w:pPr>
    </w:p>
    <w:p w14:paraId="5A839642" w14:textId="77777777" w:rsidR="00475554" w:rsidRDefault="00157B87">
      <w:pPr>
        <w:spacing w:before="120" w:after="240"/>
        <w:jc w:val="both"/>
        <w:rPr>
          <w:b/>
        </w:rPr>
      </w:pPr>
      <w:r>
        <w:rPr>
          <w:b/>
        </w:rPr>
        <w:t>Data jsou členěna na dvě skupiny:</w:t>
      </w:r>
    </w:p>
    <w:p w14:paraId="05285B4A" w14:textId="77777777" w:rsidR="00475554" w:rsidRDefault="00157B87">
      <w:pPr>
        <w:pStyle w:val="Odstavecseseznamem"/>
        <w:numPr>
          <w:ilvl w:val="0"/>
          <w:numId w:val="15"/>
        </w:numPr>
        <w:spacing w:before="120" w:after="120"/>
        <w:ind w:left="426" w:hanging="426"/>
        <w:contextualSpacing w:val="0"/>
        <w:jc w:val="both"/>
        <w:rPr>
          <w:rFonts w:eastAsia="Times New Roman"/>
          <w:bCs/>
          <w:kern w:val="36"/>
        </w:rPr>
      </w:pPr>
      <w:r>
        <w:rPr>
          <w:rFonts w:eastAsia="Times New Roman"/>
          <w:b/>
          <w:bCs/>
          <w:kern w:val="36"/>
        </w:rPr>
        <w:t>Vstupní data</w:t>
      </w:r>
      <w:r>
        <w:rPr>
          <w:rFonts w:eastAsia="Times New Roman"/>
          <w:bCs/>
          <w:kern w:val="36"/>
        </w:rPr>
        <w:t xml:space="preserve"> – jsou shodná pro všechny druhy sociálních služeb. Jedná se např. o:</w:t>
      </w:r>
    </w:p>
    <w:p w14:paraId="7842DC47" w14:textId="77777777" w:rsidR="00475554" w:rsidRDefault="00157B87">
      <w:pPr>
        <w:pStyle w:val="Odstavecseseznamem"/>
        <w:numPr>
          <w:ilvl w:val="0"/>
          <w:numId w:val="18"/>
        </w:numPr>
        <w:spacing w:before="60" w:after="60"/>
        <w:ind w:left="851" w:hanging="425"/>
        <w:contextualSpacing w:val="0"/>
        <w:jc w:val="both"/>
        <w:rPr>
          <w:rFonts w:eastAsia="Times New Roman"/>
          <w:bCs/>
          <w:kern w:val="36"/>
        </w:rPr>
      </w:pPr>
      <w:r>
        <w:rPr>
          <w:rFonts w:eastAsia="Times New Roman"/>
          <w:bCs/>
          <w:kern w:val="36"/>
        </w:rPr>
        <w:t>Územní působnost sociální služby</w:t>
      </w:r>
    </w:p>
    <w:p w14:paraId="38098B0D" w14:textId="77777777" w:rsidR="00475554" w:rsidRDefault="00157B87">
      <w:pPr>
        <w:pStyle w:val="Odstavecseseznamem"/>
        <w:numPr>
          <w:ilvl w:val="0"/>
          <w:numId w:val="14"/>
        </w:numPr>
        <w:spacing w:before="60" w:after="60"/>
        <w:ind w:left="851" w:hanging="425"/>
        <w:contextualSpacing w:val="0"/>
        <w:jc w:val="both"/>
        <w:rPr>
          <w:rFonts w:eastAsia="Times New Roman"/>
          <w:bCs/>
          <w:kern w:val="36"/>
        </w:rPr>
      </w:pPr>
      <w:r>
        <w:rPr>
          <w:rFonts w:eastAsia="Times New Roman"/>
          <w:bCs/>
          <w:kern w:val="36"/>
        </w:rPr>
        <w:t>Formu poskytování sociální služby</w:t>
      </w:r>
    </w:p>
    <w:p w14:paraId="612843EB" w14:textId="77777777" w:rsidR="00475554" w:rsidRDefault="00157B87">
      <w:pPr>
        <w:pStyle w:val="Odstavecseseznamem"/>
        <w:numPr>
          <w:ilvl w:val="0"/>
          <w:numId w:val="14"/>
        </w:numPr>
        <w:spacing w:before="60" w:after="60"/>
        <w:ind w:left="851" w:hanging="425"/>
        <w:contextualSpacing w:val="0"/>
        <w:jc w:val="both"/>
        <w:rPr>
          <w:rFonts w:eastAsia="Times New Roman"/>
          <w:bCs/>
          <w:kern w:val="36"/>
        </w:rPr>
      </w:pPr>
      <w:r>
        <w:rPr>
          <w:rFonts w:eastAsia="Times New Roman"/>
          <w:bCs/>
          <w:kern w:val="36"/>
        </w:rPr>
        <w:t>Počet pracovníků dle druhu pracovního poměru (hlavní pracovní poměr, dohoda o provedení práce, dohoda o pracovní činnosti) a dle kategorie pracovního zařazení (sociální pracovníci, pracovníci v sociálních službách, technicko-hospodářští pracovníci atd.)</w:t>
      </w:r>
    </w:p>
    <w:p w14:paraId="60C2722D" w14:textId="77777777" w:rsidR="00475554" w:rsidRDefault="00157B87">
      <w:pPr>
        <w:pStyle w:val="Odstavecseseznamem"/>
        <w:numPr>
          <w:ilvl w:val="0"/>
          <w:numId w:val="14"/>
        </w:numPr>
        <w:spacing w:before="60" w:after="60"/>
        <w:ind w:left="851" w:hanging="425"/>
        <w:contextualSpacing w:val="0"/>
        <w:jc w:val="both"/>
        <w:rPr>
          <w:rFonts w:eastAsia="Times New Roman"/>
          <w:bCs/>
          <w:kern w:val="36"/>
        </w:rPr>
      </w:pPr>
      <w:r>
        <w:rPr>
          <w:rFonts w:eastAsia="Times New Roman"/>
          <w:bCs/>
          <w:kern w:val="36"/>
        </w:rPr>
        <w:t>Počet uživatelů v členění dle cílové a věkové skupiny</w:t>
      </w:r>
    </w:p>
    <w:p w14:paraId="1EA30017" w14:textId="77777777" w:rsidR="00475554" w:rsidRDefault="00157B87">
      <w:pPr>
        <w:pStyle w:val="Odstavecseseznamem"/>
        <w:numPr>
          <w:ilvl w:val="0"/>
          <w:numId w:val="14"/>
        </w:numPr>
        <w:spacing w:before="60" w:after="60"/>
        <w:ind w:left="850" w:hanging="425"/>
        <w:contextualSpacing w:val="0"/>
        <w:jc w:val="both"/>
        <w:rPr>
          <w:rFonts w:eastAsia="Times New Roman"/>
          <w:bCs/>
          <w:kern w:val="36"/>
        </w:rPr>
      </w:pPr>
      <w:r>
        <w:rPr>
          <w:rFonts w:eastAsia="Times New Roman"/>
          <w:bCs/>
          <w:kern w:val="36"/>
        </w:rPr>
        <w:t>Náklady a výnosy sociální služby</w:t>
      </w:r>
    </w:p>
    <w:p w14:paraId="6E4740BA" w14:textId="77777777" w:rsidR="00475554" w:rsidRDefault="00157B87">
      <w:pPr>
        <w:pStyle w:val="Odstavecseseznamem"/>
        <w:numPr>
          <w:ilvl w:val="0"/>
          <w:numId w:val="14"/>
        </w:numPr>
        <w:spacing w:before="60" w:after="60"/>
        <w:ind w:left="850" w:hanging="425"/>
        <w:contextualSpacing w:val="0"/>
        <w:jc w:val="both"/>
        <w:rPr>
          <w:rFonts w:eastAsia="Times New Roman"/>
          <w:bCs/>
          <w:kern w:val="36"/>
        </w:rPr>
      </w:pPr>
      <w:r>
        <w:rPr>
          <w:rFonts w:eastAsia="Times New Roman"/>
          <w:bCs/>
          <w:kern w:val="36"/>
        </w:rPr>
        <w:t>Nefinanční podpora z veřejných zdrojů</w:t>
      </w:r>
    </w:p>
    <w:p w14:paraId="3E8B1FA0" w14:textId="77777777" w:rsidR="00475554" w:rsidRDefault="00157B87">
      <w:pPr>
        <w:pStyle w:val="Odstavecseseznamem"/>
        <w:numPr>
          <w:ilvl w:val="0"/>
          <w:numId w:val="15"/>
        </w:numPr>
        <w:spacing w:before="120" w:after="120"/>
        <w:ind w:left="426" w:hanging="426"/>
        <w:contextualSpacing w:val="0"/>
        <w:jc w:val="both"/>
        <w:rPr>
          <w:rFonts w:eastAsia="Times New Roman"/>
          <w:bCs/>
          <w:kern w:val="36"/>
        </w:rPr>
      </w:pPr>
      <w:r>
        <w:rPr>
          <w:rFonts w:eastAsia="Times New Roman"/>
          <w:b/>
          <w:bCs/>
          <w:kern w:val="36"/>
        </w:rPr>
        <w:t xml:space="preserve">Specifická data </w:t>
      </w:r>
      <w:r>
        <w:rPr>
          <w:rFonts w:eastAsia="Times New Roman"/>
          <w:bCs/>
          <w:kern w:val="36"/>
        </w:rPr>
        <w:t>– jsou definována pro jednotlivé druhy sociálních služeb v závislosti na jejich charakteru. Z dat lze získat informace např. o:</w:t>
      </w:r>
    </w:p>
    <w:p w14:paraId="7A4900EF" w14:textId="77777777" w:rsidR="00475554" w:rsidRDefault="00157B87">
      <w:pPr>
        <w:pStyle w:val="Odstavecseseznamem"/>
        <w:numPr>
          <w:ilvl w:val="0"/>
          <w:numId w:val="13"/>
        </w:numPr>
        <w:spacing w:before="120" w:after="120"/>
        <w:ind w:left="851" w:hanging="425"/>
        <w:contextualSpacing w:val="0"/>
        <w:jc w:val="both"/>
        <w:rPr>
          <w:rFonts w:eastAsia="Times New Roman"/>
          <w:bCs/>
          <w:kern w:val="36"/>
        </w:rPr>
      </w:pPr>
      <w:r>
        <w:rPr>
          <w:rFonts w:eastAsia="Times New Roman"/>
          <w:bCs/>
          <w:kern w:val="36"/>
        </w:rPr>
        <w:t>Počtu lůžkodnů</w:t>
      </w:r>
    </w:p>
    <w:p w14:paraId="5DB5B96C" w14:textId="77777777" w:rsidR="00475554" w:rsidRDefault="00157B87">
      <w:pPr>
        <w:pStyle w:val="Odstavecseseznamem"/>
        <w:numPr>
          <w:ilvl w:val="0"/>
          <w:numId w:val="13"/>
        </w:numPr>
        <w:spacing w:before="120" w:after="120"/>
        <w:ind w:left="851" w:hanging="425"/>
        <w:contextualSpacing w:val="0"/>
        <w:jc w:val="both"/>
        <w:rPr>
          <w:rFonts w:eastAsia="Times New Roman"/>
          <w:bCs/>
          <w:kern w:val="36"/>
        </w:rPr>
      </w:pPr>
      <w:r>
        <w:rPr>
          <w:rFonts w:eastAsia="Times New Roman"/>
          <w:bCs/>
          <w:kern w:val="36"/>
        </w:rPr>
        <w:lastRenderedPageBreak/>
        <w:t>Počtu uživatelů</w:t>
      </w:r>
    </w:p>
    <w:p w14:paraId="1F9753F4" w14:textId="77777777" w:rsidR="00475554" w:rsidRDefault="00157B87">
      <w:pPr>
        <w:pStyle w:val="Odstavecseseznamem"/>
        <w:numPr>
          <w:ilvl w:val="0"/>
          <w:numId w:val="13"/>
        </w:numPr>
        <w:spacing w:before="120" w:after="120"/>
        <w:ind w:left="851" w:hanging="425"/>
        <w:contextualSpacing w:val="0"/>
        <w:jc w:val="both"/>
        <w:rPr>
          <w:rFonts w:eastAsia="Times New Roman"/>
          <w:bCs/>
          <w:kern w:val="36"/>
        </w:rPr>
      </w:pPr>
      <w:r>
        <w:rPr>
          <w:rFonts w:eastAsia="Times New Roman"/>
          <w:bCs/>
          <w:kern w:val="36"/>
        </w:rPr>
        <w:t>Počtu kontaktů</w:t>
      </w:r>
    </w:p>
    <w:p w14:paraId="0B7C8AD1" w14:textId="77777777" w:rsidR="00475554" w:rsidRDefault="00157B87">
      <w:pPr>
        <w:pStyle w:val="Odstavecseseznamem"/>
        <w:numPr>
          <w:ilvl w:val="0"/>
          <w:numId w:val="13"/>
        </w:numPr>
        <w:spacing w:before="120" w:after="120"/>
        <w:ind w:left="851" w:hanging="425"/>
        <w:contextualSpacing w:val="0"/>
        <w:jc w:val="both"/>
        <w:rPr>
          <w:rFonts w:eastAsia="Times New Roman"/>
          <w:bCs/>
          <w:kern w:val="36"/>
        </w:rPr>
      </w:pPr>
      <w:r>
        <w:rPr>
          <w:rFonts w:eastAsia="Times New Roman"/>
          <w:bCs/>
          <w:kern w:val="36"/>
        </w:rPr>
        <w:t>Času poskytnutých intervencí</w:t>
      </w:r>
    </w:p>
    <w:p w14:paraId="43E618DE" w14:textId="77777777" w:rsidR="00475554" w:rsidRDefault="00157B87">
      <w:pPr>
        <w:pStyle w:val="Odstavecseseznamem"/>
        <w:numPr>
          <w:ilvl w:val="0"/>
          <w:numId w:val="13"/>
        </w:numPr>
        <w:spacing w:before="120" w:after="120"/>
        <w:ind w:left="851" w:hanging="425"/>
        <w:contextualSpacing w:val="0"/>
        <w:jc w:val="both"/>
        <w:rPr>
          <w:rFonts w:eastAsia="Times New Roman"/>
          <w:bCs/>
          <w:kern w:val="36"/>
        </w:rPr>
      </w:pPr>
      <w:r>
        <w:rPr>
          <w:rFonts w:eastAsia="Times New Roman"/>
          <w:bCs/>
          <w:kern w:val="36"/>
        </w:rPr>
        <w:t>Počtu uživatelů v členění dle stupňů závislosti</w:t>
      </w:r>
    </w:p>
    <w:p w14:paraId="6D54C52D" w14:textId="77777777" w:rsidR="00475554" w:rsidRDefault="00157B87">
      <w:pPr>
        <w:pStyle w:val="Odstavecseseznamem"/>
        <w:numPr>
          <w:ilvl w:val="0"/>
          <w:numId w:val="13"/>
        </w:numPr>
        <w:spacing w:before="120" w:after="120"/>
        <w:ind w:left="851" w:hanging="425"/>
        <w:contextualSpacing w:val="0"/>
        <w:jc w:val="both"/>
        <w:rPr>
          <w:rFonts w:eastAsia="Times New Roman"/>
          <w:bCs/>
          <w:kern w:val="36"/>
        </w:rPr>
      </w:pPr>
      <w:r>
        <w:rPr>
          <w:rFonts w:eastAsia="Times New Roman"/>
          <w:bCs/>
          <w:kern w:val="36"/>
        </w:rPr>
        <w:t>Počtu žadatelů zařazených v evidenci odmítnutých žadatelů z kapacitních důvodů</w:t>
      </w:r>
    </w:p>
    <w:p w14:paraId="681D48F4" w14:textId="77777777" w:rsidR="005F1C3D" w:rsidRDefault="00157B87">
      <w:pPr>
        <w:pStyle w:val="Odstavecseseznamem"/>
        <w:numPr>
          <w:ilvl w:val="0"/>
          <w:numId w:val="13"/>
        </w:numPr>
        <w:spacing w:before="120" w:after="120"/>
        <w:ind w:left="851" w:hanging="425"/>
        <w:contextualSpacing w:val="0"/>
        <w:jc w:val="both"/>
        <w:rPr>
          <w:rFonts w:eastAsia="Times New Roman"/>
          <w:bCs/>
          <w:kern w:val="36"/>
        </w:rPr>
      </w:pPr>
      <w:r>
        <w:rPr>
          <w:rFonts w:eastAsia="Times New Roman"/>
          <w:bCs/>
          <w:kern w:val="36"/>
        </w:rPr>
        <w:t>Počtu hodin strávených v přímé péči</w:t>
      </w:r>
      <w:r w:rsidR="002D4F22">
        <w:rPr>
          <w:rFonts w:eastAsia="Times New Roman"/>
          <w:bCs/>
          <w:kern w:val="36"/>
        </w:rPr>
        <w:t xml:space="preserve"> </w:t>
      </w:r>
    </w:p>
    <w:p w14:paraId="01CDC0C9" w14:textId="33AD37EB" w:rsidR="00693BA4" w:rsidRDefault="00693BA4">
      <w:pPr>
        <w:pStyle w:val="Odstavecseseznamem"/>
        <w:numPr>
          <w:ilvl w:val="0"/>
          <w:numId w:val="13"/>
        </w:numPr>
        <w:spacing w:before="120" w:after="120"/>
        <w:ind w:left="851" w:hanging="425"/>
        <w:contextualSpacing w:val="0"/>
        <w:jc w:val="both"/>
        <w:rPr>
          <w:rFonts w:eastAsia="Times New Roman"/>
          <w:bCs/>
          <w:kern w:val="36"/>
        </w:rPr>
      </w:pPr>
      <w:r w:rsidRPr="440ABA4D">
        <w:rPr>
          <w:rFonts w:eastAsia="Times New Roman"/>
        </w:rPr>
        <w:t xml:space="preserve">Počtu </w:t>
      </w:r>
      <w:r w:rsidR="00BA1549" w:rsidRPr="440ABA4D">
        <w:rPr>
          <w:rFonts w:eastAsia="Times New Roman"/>
        </w:rPr>
        <w:t>hodin přímé péče při (vybraných) základních činnostech účtovaných hodinovou sazbou</w:t>
      </w:r>
    </w:p>
    <w:p w14:paraId="4684B15A" w14:textId="77777777" w:rsidR="00475554" w:rsidRDefault="002D4F22">
      <w:pPr>
        <w:pStyle w:val="Odstavecseseznamem"/>
        <w:numPr>
          <w:ilvl w:val="0"/>
          <w:numId w:val="13"/>
        </w:numPr>
        <w:spacing w:before="120" w:after="120"/>
        <w:ind w:left="851" w:hanging="425"/>
        <w:contextualSpacing w:val="0"/>
        <w:jc w:val="both"/>
        <w:rPr>
          <w:rFonts w:eastAsia="Times New Roman"/>
          <w:bCs/>
          <w:kern w:val="36"/>
        </w:rPr>
      </w:pPr>
      <w:r>
        <w:rPr>
          <w:rFonts w:eastAsia="Times New Roman"/>
          <w:bCs/>
          <w:kern w:val="36"/>
        </w:rPr>
        <w:t>aj.</w:t>
      </w:r>
    </w:p>
    <w:p w14:paraId="6B949512" w14:textId="77777777" w:rsidR="00475554" w:rsidRDefault="00475554">
      <w:pPr>
        <w:spacing w:before="120" w:after="120"/>
        <w:jc w:val="both"/>
        <w:rPr>
          <w:rFonts w:eastAsia="Times New Roman"/>
          <w:bCs/>
          <w:kern w:val="36"/>
        </w:rPr>
      </w:pPr>
    </w:p>
    <w:p w14:paraId="3E27C967" w14:textId="77777777" w:rsidR="00475554" w:rsidRDefault="00157B87">
      <w:pPr>
        <w:pStyle w:val="Odstavecseseznamem"/>
        <w:spacing w:before="120" w:after="120"/>
        <w:ind w:left="0"/>
        <w:contextualSpacing w:val="0"/>
        <w:jc w:val="both"/>
        <w:rPr>
          <w:rFonts w:eastAsia="Times New Roman"/>
          <w:bCs/>
          <w:kern w:val="36"/>
        </w:rPr>
      </w:pPr>
      <w:r>
        <w:rPr>
          <w:rFonts w:eastAsia="Times New Roman"/>
          <w:bCs/>
          <w:kern w:val="36"/>
        </w:rPr>
        <w:t>Metodika KISSoS včetně de</w:t>
      </w:r>
      <w:r w:rsidR="00533D7F">
        <w:rPr>
          <w:rFonts w:eastAsia="Times New Roman"/>
          <w:bCs/>
          <w:kern w:val="36"/>
        </w:rPr>
        <w:t xml:space="preserve">finice sledovaných ukazatelů je pro každý kalendářní rok </w:t>
      </w:r>
      <w:r>
        <w:rPr>
          <w:rFonts w:eastAsia="Times New Roman"/>
          <w:bCs/>
          <w:kern w:val="36"/>
        </w:rPr>
        <w:t xml:space="preserve">aktualizována </w:t>
      </w:r>
      <w:r w:rsidR="00533D7F">
        <w:rPr>
          <w:rFonts w:eastAsia="Times New Roman"/>
          <w:bCs/>
          <w:kern w:val="36"/>
        </w:rPr>
        <w:t xml:space="preserve">a zveřejněna </w:t>
      </w:r>
      <w:r>
        <w:rPr>
          <w:rFonts w:eastAsia="Times New Roman"/>
          <w:bCs/>
          <w:kern w:val="36"/>
        </w:rPr>
        <w:t>odborem sociálních věcí Krajského úřadu Zlínského kraje</w:t>
      </w:r>
      <w:r w:rsidR="00533D7F">
        <w:rPr>
          <w:rFonts w:eastAsia="Times New Roman"/>
          <w:bCs/>
          <w:kern w:val="36"/>
        </w:rPr>
        <w:t xml:space="preserve"> před 1. 1. daného roku</w:t>
      </w:r>
      <w:r>
        <w:rPr>
          <w:rFonts w:eastAsia="Times New Roman"/>
          <w:bCs/>
          <w:kern w:val="36"/>
        </w:rPr>
        <w:t>. Aktuální znění Metodiky KISSoS je dostupné všem uživatelům webové aplikace KISSoS po jejich přihlášení do systému prostřednictvím internetu (</w:t>
      </w:r>
      <w:hyperlink r:id="rId21" w:history="1">
        <w:r>
          <w:rPr>
            <w:rStyle w:val="Hypertextovodkaz"/>
            <w:rFonts w:eastAsia="Times New Roman"/>
            <w:bCs/>
            <w:kern w:val="36"/>
          </w:rPr>
          <w:t>www.kissos.cz</w:t>
        </w:r>
      </w:hyperlink>
      <w:r>
        <w:rPr>
          <w:rFonts w:eastAsia="Times New Roman"/>
          <w:bCs/>
          <w:kern w:val="36"/>
        </w:rPr>
        <w:t>).</w:t>
      </w:r>
    </w:p>
    <w:p w14:paraId="1766439F" w14:textId="77777777" w:rsidR="00475554" w:rsidRDefault="00157B87">
      <w:pPr>
        <w:pStyle w:val="Odstavecseseznamem"/>
        <w:spacing w:before="120" w:after="120"/>
        <w:ind w:left="0"/>
        <w:contextualSpacing w:val="0"/>
        <w:jc w:val="both"/>
        <w:rPr>
          <w:rFonts w:eastAsia="Times New Roman"/>
          <w:bCs/>
          <w:kern w:val="36"/>
        </w:rPr>
      </w:pPr>
      <w:r>
        <w:rPr>
          <w:rFonts w:eastAsia="Times New Roman"/>
          <w:bCs/>
          <w:kern w:val="36"/>
        </w:rPr>
        <w:t>Poskytovatelé sociálních služeb vykazují ukazatele v souladu s příslušným Programem a uzavřenou Veřejnoprávní smlouvou, příp. vydaným Rozhodnutím.</w:t>
      </w:r>
    </w:p>
    <w:p w14:paraId="493CDE03" w14:textId="77777777" w:rsidR="00475554" w:rsidRDefault="00475554">
      <w:pPr>
        <w:pStyle w:val="Odstavecseseznamem"/>
        <w:spacing w:before="120" w:after="120"/>
        <w:ind w:left="0"/>
        <w:contextualSpacing w:val="0"/>
        <w:jc w:val="both"/>
        <w:rPr>
          <w:rFonts w:eastAsia="Times New Roman"/>
          <w:bCs/>
          <w:kern w:val="36"/>
        </w:rPr>
      </w:pPr>
    </w:p>
    <w:p w14:paraId="3F1DFC38" w14:textId="77777777" w:rsidR="00475554" w:rsidRDefault="00157B87">
      <w:pPr>
        <w:pStyle w:val="Odstavecseseznamem"/>
        <w:spacing w:before="120" w:after="120"/>
        <w:ind w:left="0"/>
        <w:contextualSpacing w:val="0"/>
        <w:jc w:val="both"/>
        <w:rPr>
          <w:rFonts w:eastAsia="Times New Roman"/>
          <w:bCs/>
          <w:kern w:val="36"/>
        </w:rPr>
      </w:pPr>
      <w:r>
        <w:rPr>
          <w:rFonts w:eastAsia="Times New Roman"/>
          <w:bCs/>
          <w:kern w:val="36"/>
        </w:rPr>
        <w:br w:type="page"/>
      </w:r>
    </w:p>
    <w:p w14:paraId="7C61D618" w14:textId="77777777" w:rsidR="00475554" w:rsidRDefault="00157B87">
      <w:pPr>
        <w:pStyle w:val="Nadpis1"/>
        <w:spacing w:before="120" w:after="120"/>
        <w:ind w:left="709" w:hanging="709"/>
        <w:jc w:val="both"/>
        <w:rPr>
          <w:rFonts w:asciiTheme="minorHAnsi" w:hAnsiTheme="minorHAnsi"/>
          <w:sz w:val="32"/>
          <w:szCs w:val="32"/>
        </w:rPr>
      </w:pPr>
      <w:bookmarkStart w:id="25" w:name="_Toc381693826"/>
      <w:bookmarkStart w:id="26" w:name="_Toc381728873"/>
      <w:bookmarkStart w:id="27" w:name="_Toc381732679"/>
      <w:bookmarkStart w:id="28" w:name="_Toc386625344"/>
      <w:bookmarkStart w:id="29" w:name="_Toc385925692"/>
      <w:bookmarkStart w:id="30" w:name="_Toc230777909"/>
      <w:bookmarkEnd w:id="25"/>
      <w:bookmarkEnd w:id="26"/>
      <w:bookmarkEnd w:id="27"/>
      <w:r>
        <w:rPr>
          <w:rFonts w:asciiTheme="minorHAnsi" w:hAnsiTheme="minorHAnsi"/>
          <w:sz w:val="32"/>
          <w:szCs w:val="32"/>
        </w:rPr>
        <w:lastRenderedPageBreak/>
        <w:t>Východiska pro stanovení vyrovnávací platby</w:t>
      </w:r>
      <w:bookmarkEnd w:id="28"/>
      <w:bookmarkEnd w:id="29"/>
      <w:bookmarkEnd w:id="30"/>
    </w:p>
    <w:p w14:paraId="505F4A2F" w14:textId="77777777" w:rsidR="00475554" w:rsidRDefault="00475554">
      <w:pPr>
        <w:spacing w:before="120" w:after="120"/>
        <w:jc w:val="both"/>
      </w:pPr>
    </w:p>
    <w:p w14:paraId="72ADC377" w14:textId="17CC6258" w:rsidR="00475554" w:rsidRDefault="00157B87">
      <w:pPr>
        <w:spacing w:before="120" w:after="120"/>
        <w:jc w:val="both"/>
      </w:pPr>
      <w:r>
        <w:t xml:space="preserve">Podkladem ke stanovení vyrovnávací platby pro sociální služby je analýza </w:t>
      </w:r>
      <w:r w:rsidR="005104E5">
        <w:t>vykázaných</w:t>
      </w:r>
      <w:r w:rsidR="005778B6">
        <w:t xml:space="preserve"> </w:t>
      </w:r>
      <w:r>
        <w:t>nákladů a výnosů</w:t>
      </w:r>
      <w:r w:rsidR="00D1686C">
        <w:t xml:space="preserve"> služeb</w:t>
      </w:r>
      <w:r>
        <w:t xml:space="preserve">. Datovou základnou jsou údaje z webové aplikace KISSoS, které poskytovatelé sociálních služeb, na základě jednotné Metodiky KISSoS, do systému uvádí. Cílem stanovení objemu finančních prostředků určených k úhradě vyrovnávací platby je </w:t>
      </w:r>
      <w:r>
        <w:rPr>
          <w:b/>
        </w:rPr>
        <w:t>optimalizace podpory sociální služby</w:t>
      </w:r>
      <w:r>
        <w:t>, která vychází z </w:t>
      </w:r>
      <w:r>
        <w:rPr>
          <w:b/>
        </w:rPr>
        <w:t>obvyklých nákladů</w:t>
      </w:r>
      <w:r>
        <w:t xml:space="preserve"> jednotlivých druhů a skupin sociálních služeb a zároveň zohledňuje jejich </w:t>
      </w:r>
      <w:r>
        <w:rPr>
          <w:b/>
        </w:rPr>
        <w:t>obvyklé výnosy</w:t>
      </w:r>
      <w:r>
        <w:t>.</w:t>
      </w:r>
    </w:p>
    <w:p w14:paraId="0F3096A2" w14:textId="77777777" w:rsidR="00475554" w:rsidRDefault="00157B87">
      <w:pPr>
        <w:spacing w:before="120" w:after="120"/>
        <w:jc w:val="both"/>
      </w:pPr>
      <w:r>
        <w:t>Hodnoty v následujících příkladech jsou uvedeny v Kč.</w:t>
      </w:r>
    </w:p>
    <w:p w14:paraId="560F75A1" w14:textId="77777777" w:rsidR="00475554" w:rsidRDefault="00475554">
      <w:pPr>
        <w:spacing w:before="120" w:after="120"/>
        <w:jc w:val="both"/>
      </w:pPr>
    </w:p>
    <w:p w14:paraId="2A2084D8" w14:textId="77777777" w:rsidR="00475554" w:rsidRDefault="00157B87">
      <w:pPr>
        <w:pStyle w:val="Nadpis2"/>
        <w:spacing w:before="120" w:after="120"/>
        <w:ind w:left="709" w:hanging="709"/>
        <w:jc w:val="both"/>
        <w:rPr>
          <w:rFonts w:ascii="Calibri" w:hAnsi="Calibri"/>
          <w:sz w:val="28"/>
          <w:szCs w:val="28"/>
        </w:rPr>
      </w:pPr>
      <w:bookmarkStart w:id="31" w:name="_Toc386625345"/>
      <w:bookmarkStart w:id="32" w:name="_Toc385925693"/>
      <w:bookmarkStart w:id="33" w:name="_Toc230777910"/>
      <w:r>
        <w:rPr>
          <w:rFonts w:ascii="Calibri" w:hAnsi="Calibri"/>
          <w:sz w:val="28"/>
          <w:szCs w:val="28"/>
        </w:rPr>
        <w:t>Jednotka sociální služby</w:t>
      </w:r>
      <w:bookmarkEnd w:id="31"/>
      <w:bookmarkEnd w:id="32"/>
      <w:bookmarkEnd w:id="33"/>
    </w:p>
    <w:p w14:paraId="3C9526C3" w14:textId="77777777" w:rsidR="00475554" w:rsidRDefault="00475554">
      <w:pPr>
        <w:spacing w:before="120" w:after="120"/>
        <w:jc w:val="both"/>
      </w:pPr>
    </w:p>
    <w:p w14:paraId="40FCEDF1" w14:textId="77777777" w:rsidR="00475554" w:rsidRDefault="00157B87">
      <w:pPr>
        <w:spacing w:before="120" w:after="120"/>
        <w:jc w:val="both"/>
        <w:rPr>
          <w:b/>
          <w:spacing w:val="-2"/>
        </w:rPr>
      </w:pPr>
      <w:r>
        <w:rPr>
          <w:b/>
          <w:spacing w:val="-2"/>
        </w:rPr>
        <w:t>Pro každý druh sociální služby byla za účelem stanovení vyrovnávací platby zvolena výchozí jednotka sociální služby.</w:t>
      </w:r>
    </w:p>
    <w:p w14:paraId="42410DFE" w14:textId="77777777" w:rsidR="00475554" w:rsidRDefault="00475554">
      <w:pPr>
        <w:spacing w:before="120" w:after="120"/>
        <w:jc w:val="both"/>
        <w:rPr>
          <w:b/>
          <w:spacing w:val="-2"/>
        </w:rPr>
      </w:pPr>
    </w:p>
    <w:p w14:paraId="54C2A223" w14:textId="77777777" w:rsidR="00475554" w:rsidRDefault="00157B87">
      <w:pPr>
        <w:pStyle w:val="Odstavecseseznamem"/>
        <w:numPr>
          <w:ilvl w:val="0"/>
          <w:numId w:val="16"/>
        </w:numPr>
        <w:spacing w:before="120" w:after="120"/>
        <w:ind w:left="426" w:hanging="426"/>
        <w:contextualSpacing w:val="0"/>
        <w:jc w:val="both"/>
        <w:rPr>
          <w:b/>
        </w:rPr>
      </w:pPr>
      <w:r>
        <w:rPr>
          <w:b/>
        </w:rPr>
        <w:t xml:space="preserve">Lůžko, </w:t>
      </w:r>
      <w:r>
        <w:t>pro pobytové/lůžkové formy poskytování sociálních služeb (včetně sociální služby druhu noclehárny).</w:t>
      </w:r>
    </w:p>
    <w:p w14:paraId="49D302E3" w14:textId="77777777" w:rsidR="00475554" w:rsidRPr="008712C5" w:rsidRDefault="00157B87">
      <w:pPr>
        <w:pStyle w:val="Odstavecseseznamem"/>
        <w:numPr>
          <w:ilvl w:val="0"/>
          <w:numId w:val="4"/>
        </w:numPr>
        <w:spacing w:before="120" w:after="120"/>
        <w:ind w:left="851" w:hanging="425"/>
        <w:contextualSpacing w:val="0"/>
        <w:jc w:val="both"/>
      </w:pPr>
      <w:r w:rsidRPr="008712C5">
        <w:t>Azylové domy</w:t>
      </w:r>
    </w:p>
    <w:p w14:paraId="3F22A711" w14:textId="77777777" w:rsidR="00475554" w:rsidRPr="00BA3059" w:rsidRDefault="00157B87">
      <w:pPr>
        <w:pStyle w:val="Odstavecseseznamem"/>
        <w:numPr>
          <w:ilvl w:val="0"/>
          <w:numId w:val="4"/>
        </w:numPr>
        <w:spacing w:before="120" w:after="120"/>
        <w:ind w:left="851" w:hanging="425"/>
        <w:contextualSpacing w:val="0"/>
        <w:jc w:val="both"/>
      </w:pPr>
      <w:r w:rsidRPr="00BA3059">
        <w:t>Domovy pro osoby se zdravotním postižením</w:t>
      </w:r>
    </w:p>
    <w:p w14:paraId="2F700088" w14:textId="77777777" w:rsidR="00475554" w:rsidRPr="00CF1257" w:rsidRDefault="00157B87">
      <w:pPr>
        <w:pStyle w:val="Odstavecseseznamem"/>
        <w:numPr>
          <w:ilvl w:val="0"/>
          <w:numId w:val="4"/>
        </w:numPr>
        <w:spacing w:before="120" w:after="120"/>
        <w:ind w:left="851" w:hanging="425"/>
        <w:contextualSpacing w:val="0"/>
        <w:jc w:val="both"/>
      </w:pPr>
      <w:r w:rsidRPr="00CF1257">
        <w:t>Domovy pro seniory</w:t>
      </w:r>
    </w:p>
    <w:p w14:paraId="76D13493" w14:textId="77777777" w:rsidR="00475554" w:rsidRPr="00FD7296" w:rsidRDefault="00157B87">
      <w:pPr>
        <w:pStyle w:val="Odstavecseseznamem"/>
        <w:numPr>
          <w:ilvl w:val="0"/>
          <w:numId w:val="4"/>
        </w:numPr>
        <w:spacing w:before="120" w:after="120"/>
        <w:ind w:left="851" w:hanging="425"/>
        <w:contextualSpacing w:val="0"/>
        <w:jc w:val="both"/>
      </w:pPr>
      <w:r w:rsidRPr="00FD7296">
        <w:t>Domovy se zvláštním režimem</w:t>
      </w:r>
    </w:p>
    <w:p w14:paraId="52DADD11" w14:textId="77777777" w:rsidR="00475554" w:rsidRPr="008712C5" w:rsidRDefault="00157B87">
      <w:pPr>
        <w:pStyle w:val="Odstavecseseznamem"/>
        <w:numPr>
          <w:ilvl w:val="0"/>
          <w:numId w:val="4"/>
        </w:numPr>
        <w:spacing w:before="120" w:after="120"/>
        <w:ind w:left="851" w:hanging="425"/>
        <w:contextualSpacing w:val="0"/>
        <w:jc w:val="both"/>
      </w:pPr>
      <w:r w:rsidRPr="00FD7296">
        <w:t>Domy na půl cesty</w:t>
      </w:r>
    </w:p>
    <w:p w14:paraId="315FC425" w14:textId="77777777" w:rsidR="00475554" w:rsidRPr="008712C5" w:rsidRDefault="00157B87">
      <w:pPr>
        <w:pStyle w:val="Odstavecseseznamem"/>
        <w:numPr>
          <w:ilvl w:val="0"/>
          <w:numId w:val="4"/>
        </w:numPr>
        <w:spacing w:before="120" w:after="120"/>
        <w:ind w:left="851" w:hanging="425"/>
        <w:contextualSpacing w:val="0"/>
        <w:jc w:val="both"/>
      </w:pPr>
      <w:r w:rsidRPr="008712C5">
        <w:t>Chráněné bydlení</w:t>
      </w:r>
    </w:p>
    <w:p w14:paraId="41F499A8" w14:textId="77777777" w:rsidR="005908BD" w:rsidRPr="008712C5" w:rsidRDefault="005908BD">
      <w:pPr>
        <w:pStyle w:val="Odstavecseseznamem"/>
        <w:numPr>
          <w:ilvl w:val="0"/>
          <w:numId w:val="4"/>
        </w:numPr>
        <w:spacing w:before="120" w:after="120"/>
        <w:ind w:left="851" w:hanging="425"/>
        <w:contextualSpacing w:val="0"/>
        <w:jc w:val="both"/>
      </w:pPr>
      <w:r w:rsidRPr="008712C5">
        <w:t>Intervenční centra – pobytová forma</w:t>
      </w:r>
    </w:p>
    <w:p w14:paraId="5FB7902E" w14:textId="77777777" w:rsidR="005908BD" w:rsidRPr="008712C5" w:rsidRDefault="005908BD">
      <w:pPr>
        <w:pStyle w:val="Odstavecseseznamem"/>
        <w:numPr>
          <w:ilvl w:val="0"/>
          <w:numId w:val="4"/>
        </w:numPr>
        <w:spacing w:before="120" w:after="120"/>
        <w:ind w:left="851" w:hanging="425"/>
        <w:contextualSpacing w:val="0"/>
        <w:jc w:val="both"/>
      </w:pPr>
      <w:r w:rsidRPr="008712C5">
        <w:t>Krizová pomoc – pobytová forma</w:t>
      </w:r>
    </w:p>
    <w:p w14:paraId="20231FDC" w14:textId="77777777" w:rsidR="00475554" w:rsidRPr="008712C5" w:rsidRDefault="00157B87">
      <w:pPr>
        <w:pStyle w:val="Odstavecseseznamem"/>
        <w:numPr>
          <w:ilvl w:val="0"/>
          <w:numId w:val="4"/>
        </w:numPr>
        <w:spacing w:before="120" w:after="120"/>
        <w:ind w:left="851" w:hanging="425"/>
        <w:contextualSpacing w:val="0"/>
        <w:jc w:val="both"/>
      </w:pPr>
      <w:r w:rsidRPr="008712C5">
        <w:t>Noclehárny</w:t>
      </w:r>
    </w:p>
    <w:p w14:paraId="7E8A0B04" w14:textId="77777777" w:rsidR="00475554" w:rsidRPr="008712C5" w:rsidRDefault="00157B87">
      <w:pPr>
        <w:pStyle w:val="Odstavecseseznamem"/>
        <w:numPr>
          <w:ilvl w:val="0"/>
          <w:numId w:val="4"/>
        </w:numPr>
        <w:spacing w:before="120" w:after="120"/>
        <w:ind w:left="851" w:hanging="425"/>
        <w:contextualSpacing w:val="0"/>
        <w:jc w:val="both"/>
      </w:pPr>
      <w:r w:rsidRPr="008712C5">
        <w:t>Odlehčovací služby – pobytová forma</w:t>
      </w:r>
    </w:p>
    <w:p w14:paraId="10D59F54" w14:textId="77777777" w:rsidR="00475554" w:rsidRPr="008712C5" w:rsidRDefault="00157B87">
      <w:pPr>
        <w:pStyle w:val="Odstavecseseznamem"/>
        <w:numPr>
          <w:ilvl w:val="0"/>
          <w:numId w:val="4"/>
        </w:numPr>
        <w:spacing w:before="120" w:after="120"/>
        <w:ind w:left="851" w:hanging="425"/>
        <w:contextualSpacing w:val="0"/>
        <w:jc w:val="both"/>
      </w:pPr>
      <w:r w:rsidRPr="008712C5">
        <w:t>Služby následné péče – pobytová forma</w:t>
      </w:r>
    </w:p>
    <w:p w14:paraId="6E4E0B31" w14:textId="77777777" w:rsidR="00475554" w:rsidRPr="008712C5" w:rsidRDefault="00157B87">
      <w:pPr>
        <w:pStyle w:val="Odstavecseseznamem"/>
        <w:numPr>
          <w:ilvl w:val="0"/>
          <w:numId w:val="4"/>
        </w:numPr>
        <w:spacing w:before="120" w:after="120"/>
        <w:ind w:left="851" w:hanging="425"/>
        <w:contextualSpacing w:val="0"/>
        <w:jc w:val="both"/>
      </w:pPr>
      <w:r w:rsidRPr="008712C5">
        <w:t xml:space="preserve">Sociální rehabilitace – pobytová forma  </w:t>
      </w:r>
    </w:p>
    <w:p w14:paraId="4310410D" w14:textId="77777777" w:rsidR="00475554" w:rsidRPr="008712C5" w:rsidRDefault="00157B87">
      <w:pPr>
        <w:pStyle w:val="Odstavecseseznamem"/>
        <w:numPr>
          <w:ilvl w:val="0"/>
          <w:numId w:val="4"/>
        </w:numPr>
        <w:spacing w:before="120" w:after="120"/>
        <w:ind w:left="851" w:hanging="425"/>
        <w:contextualSpacing w:val="0"/>
        <w:jc w:val="both"/>
      </w:pPr>
      <w:r w:rsidRPr="008712C5">
        <w:t xml:space="preserve">Sociální služby poskytované ve zdravotnických zařízeních lůžkové péče </w:t>
      </w:r>
    </w:p>
    <w:p w14:paraId="619C5913" w14:textId="77777777" w:rsidR="008712C5" w:rsidRPr="008712C5" w:rsidRDefault="008712C5">
      <w:pPr>
        <w:pStyle w:val="Odstavecseseznamem"/>
        <w:numPr>
          <w:ilvl w:val="0"/>
          <w:numId w:val="4"/>
        </w:numPr>
        <w:spacing w:before="120" w:after="120"/>
        <w:ind w:left="851" w:hanging="425"/>
        <w:contextualSpacing w:val="0"/>
        <w:jc w:val="both"/>
      </w:pPr>
      <w:r w:rsidRPr="008712C5">
        <w:t xml:space="preserve">Terapeutické komunity </w:t>
      </w:r>
    </w:p>
    <w:p w14:paraId="46122770" w14:textId="77777777" w:rsidR="00475554" w:rsidRPr="008712C5" w:rsidRDefault="00157B87">
      <w:pPr>
        <w:pStyle w:val="Odstavecseseznamem"/>
        <w:numPr>
          <w:ilvl w:val="0"/>
          <w:numId w:val="4"/>
        </w:numPr>
        <w:spacing w:before="120" w:after="120"/>
        <w:ind w:left="850" w:hanging="425"/>
        <w:contextualSpacing w:val="0"/>
        <w:jc w:val="both"/>
      </w:pPr>
      <w:r w:rsidRPr="008712C5">
        <w:t>Týdenní stacionáře</w:t>
      </w:r>
    </w:p>
    <w:p w14:paraId="417FBEFE" w14:textId="77777777" w:rsidR="00475554" w:rsidRDefault="00475554">
      <w:pPr>
        <w:spacing w:before="120" w:after="120"/>
        <w:jc w:val="both"/>
      </w:pPr>
    </w:p>
    <w:p w14:paraId="5CCEDECD" w14:textId="77777777" w:rsidR="00475554" w:rsidRDefault="00157B87">
      <w:pPr>
        <w:pStyle w:val="Odstavecseseznamem"/>
        <w:numPr>
          <w:ilvl w:val="0"/>
          <w:numId w:val="16"/>
        </w:numPr>
        <w:spacing w:before="120" w:after="120"/>
        <w:ind w:left="426" w:hanging="426"/>
        <w:contextualSpacing w:val="0"/>
        <w:jc w:val="both"/>
        <w:rPr>
          <w:b/>
        </w:rPr>
      </w:pPr>
      <w:r>
        <w:rPr>
          <w:b/>
          <w:spacing w:val="-2"/>
        </w:rPr>
        <w:lastRenderedPageBreak/>
        <w:t>Průměrný přepočtený úvazek pracovníka v přímé péči (dále jen „průměrný přepočtený úvazek PP“)</w:t>
      </w:r>
      <w:r>
        <w:rPr>
          <w:bCs/>
          <w:spacing w:val="-2"/>
        </w:rPr>
        <w:t>,</w:t>
      </w:r>
      <w:r>
        <w:rPr>
          <w:b/>
        </w:rPr>
        <w:t xml:space="preserve"> </w:t>
      </w:r>
      <w:r>
        <w:t>pro ostatní nepobytové/nelůžkové formy poskytování sociálních služeb (ambulantní a terénní forma).</w:t>
      </w:r>
    </w:p>
    <w:p w14:paraId="07465816" w14:textId="16E58E28" w:rsidR="00475554" w:rsidRDefault="00157B87">
      <w:pPr>
        <w:shd w:val="clear" w:color="auto" w:fill="FFFFFF"/>
        <w:spacing w:before="120" w:after="120"/>
        <w:ind w:left="426"/>
        <w:jc w:val="both"/>
        <w:rPr>
          <w:rFonts w:ascii="Calibri" w:hAnsi="Calibri" w:cs="Calibri"/>
          <w:color w:val="000000" w:themeColor="text1"/>
        </w:rPr>
      </w:pPr>
      <w:r>
        <w:rPr>
          <w:rFonts w:ascii="Calibri" w:hAnsi="Calibri" w:cs="Calibri"/>
          <w:color w:val="000000" w:themeColor="text1"/>
        </w:rPr>
        <w:t xml:space="preserve">Počet </w:t>
      </w:r>
      <w:r>
        <w:rPr>
          <w:rFonts w:ascii="Calibri" w:hAnsi="Calibri" w:cs="Calibri"/>
        </w:rPr>
        <w:t>průměrných přepočtených úvazků PP zahrnuje počet průměrných přepočtených úvazků PP vzt</w:t>
      </w:r>
      <w:r>
        <w:rPr>
          <w:rFonts w:ascii="Calibri" w:hAnsi="Calibri" w:cs="Calibri"/>
          <w:color w:val="000000" w:themeColor="text1"/>
        </w:rPr>
        <w:t xml:space="preserve">ahující se k pracovníkům, kteří pracují v režimu zákona č. 262/2006 Sb., zákoník práce, ve znění pozdějších předpisů, tzn. v pracovním poměru, na dohodu o pracovní činnosti nebo na dohodu o provedení práce, s prokázáním vazby k základním činnostem daného druhu sociální služby dle zákona </w:t>
      </w:r>
      <w:r w:rsidR="00077C41">
        <w:rPr>
          <w:rFonts w:ascii="Calibri" w:hAnsi="Calibri" w:cs="Calibri"/>
          <w:color w:val="000000" w:themeColor="text1"/>
        </w:rPr>
        <w:t>č. 108/2006 Sb</w:t>
      </w:r>
      <w:r>
        <w:rPr>
          <w:rFonts w:ascii="Calibri" w:hAnsi="Calibri" w:cs="Calibri"/>
          <w:color w:val="000000" w:themeColor="text1"/>
        </w:rPr>
        <w:t xml:space="preserve">. </w:t>
      </w:r>
    </w:p>
    <w:p w14:paraId="30ADEFE7" w14:textId="77777777" w:rsidR="00475554" w:rsidRDefault="00475554">
      <w:pPr>
        <w:shd w:val="clear" w:color="auto" w:fill="FFFFFF"/>
        <w:spacing w:before="120" w:after="120"/>
        <w:ind w:left="426"/>
        <w:jc w:val="both"/>
      </w:pPr>
    </w:p>
    <w:p w14:paraId="1BD93554" w14:textId="7F8B533E" w:rsidR="00475554" w:rsidRDefault="00157B87">
      <w:pPr>
        <w:pStyle w:val="Odstavecseseznamem"/>
        <w:numPr>
          <w:ilvl w:val="0"/>
          <w:numId w:val="4"/>
        </w:numPr>
        <w:spacing w:before="120" w:after="120"/>
        <w:ind w:left="851" w:hanging="425"/>
        <w:contextualSpacing w:val="0"/>
        <w:jc w:val="both"/>
      </w:pPr>
      <w:r w:rsidRPr="00DF051C">
        <w:t>Centra denních služeb</w:t>
      </w:r>
      <w:r w:rsidR="003A6BAC" w:rsidRPr="00DF051C">
        <w:t xml:space="preserve"> </w:t>
      </w:r>
      <w:r w:rsidR="009F7B28" w:rsidRPr="008712C5">
        <w:t>–</w:t>
      </w:r>
      <w:r w:rsidR="003A6BAC" w:rsidRPr="00DF051C">
        <w:t xml:space="preserve"> ambulantní forma</w:t>
      </w:r>
    </w:p>
    <w:p w14:paraId="6BB80599" w14:textId="19E84A97" w:rsidR="009621F0" w:rsidRPr="00DF051C" w:rsidRDefault="009621F0">
      <w:pPr>
        <w:pStyle w:val="Odstavecseseznamem"/>
        <w:numPr>
          <w:ilvl w:val="0"/>
          <w:numId w:val="4"/>
        </w:numPr>
        <w:spacing w:before="120" w:after="120"/>
        <w:ind w:left="851" w:hanging="425"/>
        <w:contextualSpacing w:val="0"/>
        <w:jc w:val="both"/>
      </w:pPr>
      <w:r>
        <w:t xml:space="preserve">Centrum duševního zdraví – ambulantní a terénní </w:t>
      </w:r>
      <w:r w:rsidR="000C21B2">
        <w:t>forma</w:t>
      </w:r>
    </w:p>
    <w:p w14:paraId="76DFAB22" w14:textId="1F057300" w:rsidR="003A6BAC" w:rsidRPr="00DF051C" w:rsidRDefault="00157B87" w:rsidP="003A6BAC">
      <w:pPr>
        <w:pStyle w:val="Odstavecseseznamem"/>
        <w:numPr>
          <w:ilvl w:val="0"/>
          <w:numId w:val="4"/>
        </w:numPr>
        <w:spacing w:before="120" w:after="120"/>
        <w:ind w:left="851" w:hanging="425"/>
        <w:contextualSpacing w:val="0"/>
        <w:jc w:val="both"/>
      </w:pPr>
      <w:r w:rsidRPr="00DF051C">
        <w:t>Denní stacionáře</w:t>
      </w:r>
      <w:r w:rsidR="003A6BAC" w:rsidRPr="00DF051C">
        <w:t xml:space="preserve"> </w:t>
      </w:r>
      <w:r w:rsidR="009F7B28" w:rsidRPr="008712C5">
        <w:t>–</w:t>
      </w:r>
      <w:r w:rsidR="009F7B28">
        <w:t xml:space="preserve"> </w:t>
      </w:r>
      <w:r w:rsidR="003A6BAC" w:rsidRPr="00DF051C">
        <w:t>ambulantní forma</w:t>
      </w:r>
    </w:p>
    <w:p w14:paraId="7DB52C76" w14:textId="77777777" w:rsidR="00475554" w:rsidRPr="00DF051C" w:rsidRDefault="00157B87">
      <w:pPr>
        <w:pStyle w:val="Odstavecseseznamem"/>
        <w:numPr>
          <w:ilvl w:val="0"/>
          <w:numId w:val="4"/>
        </w:numPr>
        <w:spacing w:before="120" w:after="120"/>
        <w:ind w:left="851" w:hanging="425"/>
        <w:contextualSpacing w:val="0"/>
        <w:jc w:val="both"/>
      </w:pPr>
      <w:r w:rsidRPr="00DF051C">
        <w:t>Intervenční centra</w:t>
      </w:r>
      <w:r w:rsidR="003A6BAC" w:rsidRPr="00DF051C">
        <w:t xml:space="preserve"> – ambulantní a terénní forma</w:t>
      </w:r>
    </w:p>
    <w:p w14:paraId="2A77A779" w14:textId="77777777" w:rsidR="00475554" w:rsidRPr="00DF051C" w:rsidRDefault="00157B87">
      <w:pPr>
        <w:pStyle w:val="Odstavecseseznamem"/>
        <w:numPr>
          <w:ilvl w:val="0"/>
          <w:numId w:val="4"/>
        </w:numPr>
        <w:spacing w:before="120" w:after="120"/>
        <w:ind w:left="851" w:hanging="425"/>
        <w:contextualSpacing w:val="0"/>
        <w:jc w:val="both"/>
      </w:pPr>
      <w:r w:rsidRPr="00DF051C">
        <w:t>Kontaktní centra</w:t>
      </w:r>
      <w:r w:rsidR="003A6BAC" w:rsidRPr="00DF051C">
        <w:t xml:space="preserve"> </w:t>
      </w:r>
      <w:r w:rsidR="00BA3059" w:rsidRPr="00DF051C">
        <w:t>–</w:t>
      </w:r>
      <w:r w:rsidR="003A6BAC" w:rsidRPr="00DF051C">
        <w:t xml:space="preserve"> </w:t>
      </w:r>
      <w:r w:rsidR="00BA3059" w:rsidRPr="00DF051C">
        <w:t>ambulantní a terénní forma</w:t>
      </w:r>
    </w:p>
    <w:p w14:paraId="4B60A97E" w14:textId="77777777" w:rsidR="00475554" w:rsidRPr="00DF051C" w:rsidRDefault="00157B87">
      <w:pPr>
        <w:pStyle w:val="Odstavecseseznamem"/>
        <w:numPr>
          <w:ilvl w:val="0"/>
          <w:numId w:val="4"/>
        </w:numPr>
        <w:spacing w:before="120" w:after="120"/>
        <w:ind w:left="851" w:hanging="425"/>
        <w:contextualSpacing w:val="0"/>
        <w:jc w:val="both"/>
      </w:pPr>
      <w:r w:rsidRPr="00DF051C">
        <w:t>Krizová pomoc</w:t>
      </w:r>
      <w:r w:rsidR="00BA3059" w:rsidRPr="00DF051C">
        <w:t xml:space="preserve"> – ambulantní a terénní forma</w:t>
      </w:r>
    </w:p>
    <w:p w14:paraId="56532D20" w14:textId="77777777" w:rsidR="00475554" w:rsidRPr="00DF051C" w:rsidRDefault="00157B87">
      <w:pPr>
        <w:pStyle w:val="Odstavecseseznamem"/>
        <w:numPr>
          <w:ilvl w:val="0"/>
          <w:numId w:val="4"/>
        </w:numPr>
        <w:spacing w:before="120" w:after="120"/>
        <w:ind w:left="851" w:hanging="425"/>
        <w:contextualSpacing w:val="0"/>
        <w:jc w:val="both"/>
      </w:pPr>
      <w:r w:rsidRPr="00DF051C">
        <w:t>Nízkoprahová denní centra</w:t>
      </w:r>
      <w:r w:rsidR="00BA3059" w:rsidRPr="00DF051C">
        <w:t xml:space="preserve"> – ambulantní a terénní forma</w:t>
      </w:r>
    </w:p>
    <w:p w14:paraId="4FF7031C" w14:textId="77777777" w:rsidR="00475554" w:rsidRPr="00DF051C" w:rsidRDefault="00157B87">
      <w:pPr>
        <w:pStyle w:val="Odstavecseseznamem"/>
        <w:numPr>
          <w:ilvl w:val="0"/>
          <w:numId w:val="4"/>
        </w:numPr>
        <w:spacing w:before="120" w:after="120"/>
        <w:ind w:left="851" w:hanging="425"/>
        <w:contextualSpacing w:val="0"/>
        <w:jc w:val="both"/>
      </w:pPr>
      <w:r w:rsidRPr="00DF051C">
        <w:t>Nízkoprahová zařízení pro děti a mládež</w:t>
      </w:r>
      <w:r w:rsidR="00BA3059" w:rsidRPr="00DF051C">
        <w:t xml:space="preserve"> – ambulantní a terénní forma</w:t>
      </w:r>
    </w:p>
    <w:p w14:paraId="523F24E2" w14:textId="77777777" w:rsidR="00475554" w:rsidRPr="00DF051C" w:rsidRDefault="00157B87">
      <w:pPr>
        <w:pStyle w:val="Odstavecseseznamem"/>
        <w:numPr>
          <w:ilvl w:val="0"/>
          <w:numId w:val="4"/>
        </w:numPr>
        <w:spacing w:before="120" w:after="120"/>
        <w:ind w:left="851" w:hanging="425"/>
        <w:contextualSpacing w:val="0"/>
        <w:jc w:val="both"/>
      </w:pPr>
      <w:r w:rsidRPr="00DF051C">
        <w:t>Odborné sociální poradenství</w:t>
      </w:r>
      <w:r w:rsidR="00DF051C" w:rsidRPr="00DF051C">
        <w:t xml:space="preserve"> – ambulantní a terénní forma</w:t>
      </w:r>
    </w:p>
    <w:p w14:paraId="5B76D887" w14:textId="77777777" w:rsidR="00475554" w:rsidRPr="00DF051C" w:rsidRDefault="00157B87">
      <w:pPr>
        <w:pStyle w:val="Odstavecseseznamem"/>
        <w:numPr>
          <w:ilvl w:val="0"/>
          <w:numId w:val="4"/>
        </w:numPr>
        <w:spacing w:before="120" w:after="120"/>
        <w:ind w:left="851" w:hanging="425"/>
        <w:contextualSpacing w:val="0"/>
        <w:jc w:val="both"/>
      </w:pPr>
      <w:r w:rsidRPr="00DF051C">
        <w:t>Odlehčovací služby – ambulantní a terénní forma</w:t>
      </w:r>
    </w:p>
    <w:p w14:paraId="795D987E" w14:textId="77777777" w:rsidR="00475554" w:rsidRPr="00DF051C" w:rsidRDefault="00157B87">
      <w:pPr>
        <w:pStyle w:val="Odstavecseseznamem"/>
        <w:numPr>
          <w:ilvl w:val="0"/>
          <w:numId w:val="4"/>
        </w:numPr>
        <w:spacing w:before="120" w:after="120"/>
        <w:ind w:left="851" w:hanging="425"/>
        <w:contextualSpacing w:val="0"/>
        <w:jc w:val="both"/>
      </w:pPr>
      <w:r w:rsidRPr="00DF051C">
        <w:t>Osobní asistence</w:t>
      </w:r>
      <w:r w:rsidR="00BA3059" w:rsidRPr="00DF051C">
        <w:t xml:space="preserve"> – terénní forma</w:t>
      </w:r>
    </w:p>
    <w:p w14:paraId="16B017BB" w14:textId="77777777" w:rsidR="00475554" w:rsidRPr="00DF051C" w:rsidRDefault="00157B87">
      <w:pPr>
        <w:pStyle w:val="Odstavecseseznamem"/>
        <w:numPr>
          <w:ilvl w:val="0"/>
          <w:numId w:val="4"/>
        </w:numPr>
        <w:spacing w:before="120" w:after="120"/>
        <w:ind w:left="851" w:hanging="425"/>
        <w:contextualSpacing w:val="0"/>
        <w:jc w:val="both"/>
      </w:pPr>
      <w:r w:rsidRPr="00DF051C">
        <w:t>Pečovatelská služba</w:t>
      </w:r>
      <w:r w:rsidR="00BA3059" w:rsidRPr="00DF051C">
        <w:t xml:space="preserve"> – ambulantní a terénní forma</w:t>
      </w:r>
    </w:p>
    <w:p w14:paraId="7C8B2172" w14:textId="77777777" w:rsidR="00475554" w:rsidRPr="00DF051C" w:rsidRDefault="00157B87">
      <w:pPr>
        <w:pStyle w:val="Odstavecseseznamem"/>
        <w:numPr>
          <w:ilvl w:val="0"/>
          <w:numId w:val="4"/>
        </w:numPr>
        <w:spacing w:before="120" w:after="120"/>
        <w:ind w:left="851" w:hanging="425"/>
        <w:contextualSpacing w:val="0"/>
        <w:jc w:val="both"/>
      </w:pPr>
      <w:r w:rsidRPr="00DF051C">
        <w:t>Podpora samostatného bydlení</w:t>
      </w:r>
      <w:r w:rsidR="00BA3059" w:rsidRPr="00DF051C">
        <w:t xml:space="preserve"> – terénní forma</w:t>
      </w:r>
    </w:p>
    <w:p w14:paraId="008EFB51" w14:textId="77777777" w:rsidR="00BA3059" w:rsidRPr="00DF051C" w:rsidRDefault="00BA3059">
      <w:pPr>
        <w:pStyle w:val="Odstavecseseznamem"/>
        <w:numPr>
          <w:ilvl w:val="0"/>
          <w:numId w:val="4"/>
        </w:numPr>
        <w:spacing w:before="120" w:after="120"/>
        <w:ind w:left="851" w:hanging="425"/>
        <w:contextualSpacing w:val="0"/>
        <w:jc w:val="both"/>
      </w:pPr>
      <w:r w:rsidRPr="00DF051C">
        <w:t>Průvodcovské a předčitatelské služby – ambulantní a terénní forma</w:t>
      </w:r>
    </w:p>
    <w:p w14:paraId="084C114B" w14:textId="77777777" w:rsidR="00475554" w:rsidRPr="00DF051C" w:rsidRDefault="00157B87">
      <w:pPr>
        <w:pStyle w:val="Odstavecseseznamem"/>
        <w:numPr>
          <w:ilvl w:val="0"/>
          <w:numId w:val="4"/>
        </w:numPr>
        <w:spacing w:before="120" w:after="120"/>
        <w:ind w:left="851" w:hanging="425"/>
        <w:contextualSpacing w:val="0"/>
        <w:jc w:val="both"/>
      </w:pPr>
      <w:r w:rsidRPr="00DF051C">
        <w:t>Raná péče</w:t>
      </w:r>
      <w:r w:rsidR="00BA3059" w:rsidRPr="00DF051C">
        <w:t xml:space="preserve"> – ambulantní a terénní forma</w:t>
      </w:r>
    </w:p>
    <w:p w14:paraId="69402CEE" w14:textId="77777777" w:rsidR="00475554" w:rsidRPr="00DF051C" w:rsidRDefault="00157B87">
      <w:pPr>
        <w:pStyle w:val="Odstavecseseznamem"/>
        <w:numPr>
          <w:ilvl w:val="0"/>
          <w:numId w:val="4"/>
        </w:numPr>
        <w:spacing w:before="120" w:after="120"/>
        <w:ind w:left="851" w:hanging="425"/>
        <w:contextualSpacing w:val="0"/>
        <w:jc w:val="both"/>
      </w:pPr>
      <w:r w:rsidRPr="00DF051C">
        <w:t>Služby následné péče – ambulantní forma</w:t>
      </w:r>
    </w:p>
    <w:p w14:paraId="5E08A520" w14:textId="1454175D" w:rsidR="00475554" w:rsidRPr="00DF051C" w:rsidRDefault="00157B87">
      <w:pPr>
        <w:pStyle w:val="Odstavecseseznamem"/>
        <w:numPr>
          <w:ilvl w:val="0"/>
          <w:numId w:val="4"/>
        </w:numPr>
        <w:spacing w:before="120" w:after="120"/>
        <w:ind w:left="851" w:hanging="425"/>
        <w:contextualSpacing w:val="0"/>
        <w:jc w:val="both"/>
      </w:pPr>
      <w:r w:rsidRPr="00DF051C">
        <w:t>Sociálně aktivizační služby pro rodiny s</w:t>
      </w:r>
      <w:r w:rsidR="00BA3059" w:rsidRPr="00DF051C">
        <w:t> </w:t>
      </w:r>
      <w:r w:rsidRPr="00DF051C">
        <w:t>dětmi</w:t>
      </w:r>
      <w:r w:rsidR="00BA3059" w:rsidRPr="00DF051C">
        <w:t xml:space="preserve"> – ambulantní a terénní forma</w:t>
      </w:r>
    </w:p>
    <w:p w14:paraId="0CB3AC1F" w14:textId="77777777" w:rsidR="00475554" w:rsidRPr="00DF051C" w:rsidRDefault="00157B87">
      <w:pPr>
        <w:pStyle w:val="Odstavecseseznamem"/>
        <w:numPr>
          <w:ilvl w:val="0"/>
          <w:numId w:val="4"/>
        </w:numPr>
        <w:spacing w:before="120" w:after="120"/>
        <w:ind w:left="851" w:hanging="425"/>
        <w:contextualSpacing w:val="0"/>
        <w:jc w:val="both"/>
      </w:pPr>
      <w:r w:rsidRPr="00DF051C">
        <w:t>Sociálně aktivizační služby pro seniory a osoby se zdravotním postižením</w:t>
      </w:r>
      <w:r w:rsidR="00BA3059" w:rsidRPr="00DF051C">
        <w:t xml:space="preserve"> – ambulantní a terénní forma</w:t>
      </w:r>
    </w:p>
    <w:p w14:paraId="63DEDF86" w14:textId="77777777" w:rsidR="00475554" w:rsidRPr="00DF051C" w:rsidRDefault="00157B87">
      <w:pPr>
        <w:pStyle w:val="Odstavecseseznamem"/>
        <w:numPr>
          <w:ilvl w:val="0"/>
          <w:numId w:val="4"/>
        </w:numPr>
        <w:spacing w:before="120" w:after="120"/>
        <w:ind w:left="851" w:hanging="425"/>
        <w:contextualSpacing w:val="0"/>
        <w:jc w:val="both"/>
      </w:pPr>
      <w:r w:rsidRPr="00DF051C">
        <w:t>Sociálně terapeutické dílny</w:t>
      </w:r>
      <w:r w:rsidR="00BA3059" w:rsidRPr="00DF051C">
        <w:t xml:space="preserve"> – ambulantní forma</w:t>
      </w:r>
    </w:p>
    <w:p w14:paraId="783215B5" w14:textId="77777777" w:rsidR="00475554" w:rsidRPr="00DF051C" w:rsidRDefault="00157B87">
      <w:pPr>
        <w:pStyle w:val="Odstavecseseznamem"/>
        <w:numPr>
          <w:ilvl w:val="0"/>
          <w:numId w:val="4"/>
        </w:numPr>
        <w:spacing w:before="120" w:after="120"/>
        <w:ind w:left="851" w:hanging="425"/>
        <w:contextualSpacing w:val="0"/>
        <w:jc w:val="both"/>
      </w:pPr>
      <w:r w:rsidRPr="00DF051C">
        <w:t>Sociální rehabilitace – ambulantní a terénní forma</w:t>
      </w:r>
    </w:p>
    <w:p w14:paraId="3477AE86" w14:textId="77777777" w:rsidR="00475554" w:rsidRPr="00DF051C" w:rsidRDefault="00157B87">
      <w:pPr>
        <w:pStyle w:val="Odstavecseseznamem"/>
        <w:numPr>
          <w:ilvl w:val="0"/>
          <w:numId w:val="4"/>
        </w:numPr>
        <w:spacing w:before="120" w:after="120"/>
        <w:ind w:left="851" w:hanging="425"/>
        <w:contextualSpacing w:val="0"/>
        <w:jc w:val="both"/>
      </w:pPr>
      <w:r w:rsidRPr="00DF051C">
        <w:t>Telefonická krizová pomoc</w:t>
      </w:r>
      <w:r w:rsidR="00BA3059" w:rsidRPr="00DF051C">
        <w:t xml:space="preserve"> – terénní forma</w:t>
      </w:r>
    </w:p>
    <w:p w14:paraId="6E6F2890" w14:textId="77777777" w:rsidR="00475554" w:rsidRPr="00DF051C" w:rsidRDefault="00157B87">
      <w:pPr>
        <w:pStyle w:val="Odstavecseseznamem"/>
        <w:numPr>
          <w:ilvl w:val="0"/>
          <w:numId w:val="4"/>
        </w:numPr>
        <w:spacing w:before="120" w:after="120"/>
        <w:ind w:left="851" w:hanging="425"/>
        <w:contextualSpacing w:val="0"/>
        <w:jc w:val="both"/>
      </w:pPr>
      <w:r w:rsidRPr="00DF051C">
        <w:t>Terénní programy</w:t>
      </w:r>
      <w:r w:rsidR="00BA3059" w:rsidRPr="00DF051C">
        <w:t xml:space="preserve"> – terénní forma</w:t>
      </w:r>
    </w:p>
    <w:p w14:paraId="39740D01" w14:textId="77777777" w:rsidR="00475554" w:rsidRPr="00DF051C" w:rsidRDefault="00157B87">
      <w:pPr>
        <w:pStyle w:val="Odstavecseseznamem"/>
        <w:numPr>
          <w:ilvl w:val="0"/>
          <w:numId w:val="4"/>
        </w:numPr>
        <w:spacing w:before="120" w:after="120"/>
        <w:ind w:left="851" w:hanging="425"/>
        <w:contextualSpacing w:val="0"/>
        <w:jc w:val="both"/>
      </w:pPr>
      <w:r w:rsidRPr="00DF051C">
        <w:t>Tísňová péče</w:t>
      </w:r>
      <w:r w:rsidR="00BA3059" w:rsidRPr="00DF051C">
        <w:t xml:space="preserve"> – terénní forma</w:t>
      </w:r>
    </w:p>
    <w:p w14:paraId="3423C065" w14:textId="77777777" w:rsidR="00475554" w:rsidRPr="00DF051C" w:rsidRDefault="00157B87">
      <w:pPr>
        <w:pStyle w:val="Odstavecseseznamem"/>
        <w:numPr>
          <w:ilvl w:val="0"/>
          <w:numId w:val="4"/>
        </w:numPr>
        <w:spacing w:before="120" w:after="120"/>
        <w:ind w:left="850" w:hanging="425"/>
        <w:contextualSpacing w:val="0"/>
        <w:jc w:val="both"/>
      </w:pPr>
      <w:r w:rsidRPr="00DF051C">
        <w:t>Tlumočnické služby</w:t>
      </w:r>
      <w:r w:rsidR="00BA3059" w:rsidRPr="00DF051C">
        <w:t xml:space="preserve"> </w:t>
      </w:r>
      <w:r w:rsidR="00DF051C" w:rsidRPr="00DF051C">
        <w:t>– ambulantní a terénní forma</w:t>
      </w:r>
    </w:p>
    <w:p w14:paraId="31D01035" w14:textId="77777777" w:rsidR="00475554" w:rsidRDefault="00157B87">
      <w:pPr>
        <w:pStyle w:val="Nadpis2"/>
        <w:spacing w:before="120" w:after="120"/>
        <w:ind w:left="709" w:hanging="709"/>
        <w:jc w:val="both"/>
        <w:rPr>
          <w:rFonts w:ascii="Calibri" w:hAnsi="Calibri"/>
          <w:sz w:val="28"/>
          <w:szCs w:val="28"/>
        </w:rPr>
      </w:pPr>
      <w:bookmarkStart w:id="34" w:name="_Toc381693829"/>
      <w:bookmarkStart w:id="35" w:name="_Toc381728876"/>
      <w:bookmarkStart w:id="36" w:name="_Toc381732682"/>
      <w:bookmarkStart w:id="37" w:name="_Ref381549357"/>
      <w:bookmarkStart w:id="38" w:name="_Ref381559901"/>
      <w:bookmarkStart w:id="39" w:name="_Toc230777911"/>
      <w:bookmarkEnd w:id="34"/>
      <w:bookmarkEnd w:id="35"/>
      <w:bookmarkEnd w:id="36"/>
      <w:r>
        <w:rPr>
          <w:rFonts w:ascii="Calibri" w:hAnsi="Calibri"/>
          <w:sz w:val="28"/>
          <w:szCs w:val="28"/>
        </w:rPr>
        <w:lastRenderedPageBreak/>
        <w:t>Náklady</w:t>
      </w:r>
      <w:bookmarkEnd w:id="37"/>
      <w:bookmarkEnd w:id="38"/>
      <w:r>
        <w:rPr>
          <w:rFonts w:ascii="Calibri" w:hAnsi="Calibri"/>
          <w:sz w:val="28"/>
          <w:szCs w:val="28"/>
        </w:rPr>
        <w:t xml:space="preserve"> sociální služby</w:t>
      </w:r>
      <w:bookmarkEnd w:id="39"/>
    </w:p>
    <w:p w14:paraId="160A8D16" w14:textId="77777777" w:rsidR="00475554" w:rsidRDefault="00475554">
      <w:pPr>
        <w:spacing w:before="120" w:after="120"/>
        <w:jc w:val="both"/>
        <w:rPr>
          <w:rFonts w:cs="Arial"/>
        </w:rPr>
      </w:pPr>
    </w:p>
    <w:p w14:paraId="2DD33193" w14:textId="472EEC13" w:rsidR="00475554" w:rsidRDefault="00157B87">
      <w:pPr>
        <w:spacing w:before="120" w:after="120"/>
        <w:jc w:val="both"/>
        <w:rPr>
          <w:rFonts w:cs="Arial"/>
        </w:rPr>
      </w:pPr>
      <w:r>
        <w:rPr>
          <w:rFonts w:cs="Arial"/>
          <w:b/>
        </w:rPr>
        <w:t>Dle Rozhodnutí SGEI nesmí výše vyrovnávací platby</w:t>
      </w:r>
      <w:r>
        <w:rPr>
          <w:rFonts w:cs="Arial"/>
        </w:rPr>
        <w:t xml:space="preserve"> přesáhnout rozsah nezbytný k pokrytí čistých nákladů vynaložených při plnění závazků veřejné služby. </w:t>
      </w:r>
      <w:r>
        <w:rPr>
          <w:rFonts w:cs="Arial"/>
          <w:b/>
        </w:rPr>
        <w:t>Čisté náklady</w:t>
      </w:r>
      <w:r>
        <w:rPr>
          <w:rFonts w:cs="Arial"/>
        </w:rPr>
        <w:t xml:space="preserve"> lze vypočítat jako </w:t>
      </w:r>
      <w:r>
        <w:rPr>
          <w:rFonts w:cs="Arial"/>
          <w:b/>
        </w:rPr>
        <w:t>rozdíl mezi náklady a výnosy</w:t>
      </w:r>
      <w:r>
        <w:rPr>
          <w:rFonts w:cs="Arial"/>
        </w:rPr>
        <w:t>.</w:t>
      </w:r>
    </w:p>
    <w:p w14:paraId="1A21B12B" w14:textId="77777777" w:rsidR="00475554" w:rsidRDefault="00157B87">
      <w:pPr>
        <w:pStyle w:val="Default"/>
        <w:spacing w:before="120" w:after="120" w:line="276" w:lineRule="auto"/>
        <w:jc w:val="both"/>
        <w:rPr>
          <w:rFonts w:asciiTheme="minorHAnsi" w:hAnsiTheme="minorHAnsi" w:cs="Arial"/>
          <w:color w:val="auto"/>
          <w:sz w:val="22"/>
          <w:szCs w:val="22"/>
        </w:rPr>
      </w:pPr>
      <w:r>
        <w:rPr>
          <w:rFonts w:asciiTheme="minorHAnsi" w:hAnsiTheme="minorHAnsi" w:cs="Arial"/>
          <w:b/>
          <w:color w:val="auto"/>
          <w:sz w:val="22"/>
          <w:szCs w:val="22"/>
        </w:rPr>
        <w:t>Náklady</w:t>
      </w:r>
      <w:r>
        <w:rPr>
          <w:rFonts w:asciiTheme="minorHAnsi" w:hAnsiTheme="minorHAnsi" w:cs="Arial"/>
          <w:color w:val="auto"/>
          <w:sz w:val="22"/>
          <w:szCs w:val="22"/>
        </w:rPr>
        <w:t xml:space="preserve"> pro výpočet vyrovnávací platby se rozumí veškeré náklady poskytovatele sociálních služeb vzniklé výlučně při poskytování SGEI, jimiž byl pověřen. Pokud tedy poskytovatel sociálních služeb vykonává i jiné činnosti (nad rámec pověření SGEI), náklady spojené s touto činností se při výpočtu vyrovnávací platby neuplatní.</w:t>
      </w:r>
    </w:p>
    <w:p w14:paraId="19966D27" w14:textId="7D4A35D2" w:rsidR="00475554" w:rsidRDefault="00157B87">
      <w:pPr>
        <w:pStyle w:val="Default"/>
        <w:spacing w:before="120" w:after="120" w:line="276" w:lineRule="auto"/>
        <w:jc w:val="both"/>
        <w:rPr>
          <w:rFonts w:asciiTheme="minorHAnsi" w:hAnsiTheme="minorHAnsi" w:cs="Arial"/>
          <w:color w:val="auto"/>
          <w:sz w:val="22"/>
          <w:szCs w:val="22"/>
        </w:rPr>
      </w:pPr>
      <w:r>
        <w:rPr>
          <w:rFonts w:asciiTheme="minorHAnsi" w:hAnsiTheme="minorHAnsi" w:cs="Arial"/>
          <w:b/>
          <w:color w:val="auto"/>
          <w:sz w:val="22"/>
          <w:szCs w:val="22"/>
        </w:rPr>
        <w:t xml:space="preserve">Výpočet obvyklých nákladů na jednotku jednotlivých druhů a skupin sociálních služeb je modelován ze skutečných nákladů daných sociálních služeb zařazených do Akčního plánu pro daný rok. Vychází se při tom z analýz dvou kalendářních let předcházejících roku, ve kterém se maximální částka pro vyrovnávací platbu stanoví </w:t>
      </w:r>
      <w:r>
        <w:rPr>
          <w:rFonts w:asciiTheme="minorHAnsi" w:hAnsiTheme="minorHAnsi" w:cs="Arial"/>
          <w:color w:val="auto"/>
          <w:sz w:val="22"/>
          <w:szCs w:val="22"/>
        </w:rPr>
        <w:t xml:space="preserve">(tj. pro stanovení obvyklých nákladů pro rok </w:t>
      </w:r>
      <w:r w:rsidR="002E4F98">
        <w:rPr>
          <w:rFonts w:asciiTheme="minorHAnsi" w:hAnsiTheme="minorHAnsi" w:cs="Arial"/>
          <w:color w:val="auto"/>
          <w:sz w:val="22"/>
          <w:szCs w:val="22"/>
        </w:rPr>
        <w:t xml:space="preserve">2027 </w:t>
      </w:r>
      <w:r>
        <w:rPr>
          <w:rFonts w:asciiTheme="minorHAnsi" w:hAnsiTheme="minorHAnsi" w:cs="Arial"/>
          <w:color w:val="auto"/>
          <w:sz w:val="22"/>
          <w:szCs w:val="22"/>
        </w:rPr>
        <w:t xml:space="preserve">byla v roce </w:t>
      </w:r>
      <w:r w:rsidR="007402A6">
        <w:rPr>
          <w:rFonts w:asciiTheme="minorHAnsi" w:hAnsiTheme="minorHAnsi" w:cs="Arial"/>
          <w:color w:val="auto"/>
          <w:sz w:val="22"/>
          <w:szCs w:val="22"/>
        </w:rPr>
        <w:t xml:space="preserve">2026 </w:t>
      </w:r>
      <w:r>
        <w:rPr>
          <w:rFonts w:asciiTheme="minorHAnsi" w:hAnsiTheme="minorHAnsi" w:cs="Arial"/>
          <w:color w:val="auto"/>
          <w:sz w:val="22"/>
          <w:szCs w:val="22"/>
        </w:rPr>
        <w:t xml:space="preserve">jako východisko použita analýza skutečných nákladů roku </w:t>
      </w:r>
      <w:r w:rsidR="007402A6">
        <w:rPr>
          <w:rFonts w:asciiTheme="minorHAnsi" w:hAnsiTheme="minorHAnsi" w:cs="Arial"/>
          <w:color w:val="auto"/>
          <w:sz w:val="22"/>
          <w:szCs w:val="22"/>
        </w:rPr>
        <w:t xml:space="preserve">2025 </w:t>
      </w:r>
      <w:r>
        <w:rPr>
          <w:rFonts w:asciiTheme="minorHAnsi" w:hAnsiTheme="minorHAnsi" w:cs="Arial"/>
          <w:color w:val="auto"/>
          <w:sz w:val="22"/>
          <w:szCs w:val="22"/>
        </w:rPr>
        <w:t xml:space="preserve">a </w:t>
      </w:r>
      <w:r w:rsidR="007402A6">
        <w:rPr>
          <w:rFonts w:asciiTheme="minorHAnsi" w:hAnsiTheme="minorHAnsi" w:cs="Arial"/>
          <w:color w:val="auto"/>
          <w:sz w:val="22"/>
          <w:szCs w:val="22"/>
        </w:rPr>
        <w:t>2024</w:t>
      </w:r>
      <w:r>
        <w:rPr>
          <w:rFonts w:asciiTheme="minorHAnsi" w:hAnsiTheme="minorHAnsi" w:cs="Arial"/>
          <w:color w:val="auto"/>
          <w:sz w:val="22"/>
          <w:szCs w:val="22"/>
        </w:rPr>
        <w:t>).</w:t>
      </w:r>
    </w:p>
    <w:p w14:paraId="3AE6434A" w14:textId="26D22892" w:rsidR="00475554" w:rsidRDefault="00157B87">
      <w:pPr>
        <w:pStyle w:val="Default"/>
        <w:spacing w:before="120" w:after="120" w:line="276" w:lineRule="auto"/>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Základem pro výpočet výše obvyklého nákladu na jednotku je druh sociální služby dle zákona </w:t>
      </w:r>
      <w:r w:rsidR="00077C41">
        <w:rPr>
          <w:rFonts w:asciiTheme="minorHAnsi" w:hAnsiTheme="minorHAnsi" w:cstheme="minorHAnsi"/>
          <w:color w:val="auto"/>
          <w:sz w:val="22"/>
          <w:szCs w:val="22"/>
        </w:rPr>
        <w:t>č. 108/2006 Sb</w:t>
      </w:r>
      <w:r>
        <w:rPr>
          <w:rFonts w:asciiTheme="minorHAnsi" w:hAnsiTheme="minorHAnsi" w:cstheme="minorHAnsi"/>
          <w:color w:val="auto"/>
          <w:sz w:val="22"/>
          <w:szCs w:val="22"/>
        </w:rPr>
        <w:t>.</w:t>
      </w:r>
      <w:r w:rsidR="006D7AA5">
        <w:rPr>
          <w:rFonts w:asciiTheme="minorHAnsi" w:hAnsiTheme="minorHAnsi" w:cstheme="minorHAnsi"/>
          <w:color w:val="auto"/>
          <w:sz w:val="22"/>
          <w:szCs w:val="22"/>
        </w:rPr>
        <w:t>, který</w:t>
      </w:r>
      <w:r>
        <w:rPr>
          <w:rFonts w:asciiTheme="minorHAnsi" w:hAnsiTheme="minorHAnsi" w:cstheme="minorHAnsi"/>
          <w:color w:val="auto"/>
          <w:sz w:val="22"/>
          <w:szCs w:val="22"/>
        </w:rPr>
        <w:t xml:space="preserve"> může být</w:t>
      </w:r>
      <w:r w:rsidR="006D7AA5">
        <w:rPr>
          <w:rFonts w:asciiTheme="minorHAnsi" w:hAnsiTheme="minorHAnsi" w:cstheme="minorHAnsi"/>
          <w:color w:val="auto"/>
          <w:sz w:val="22"/>
          <w:szCs w:val="22"/>
        </w:rPr>
        <w:t xml:space="preserve"> </w:t>
      </w:r>
      <w:r w:rsidR="006D7AA5" w:rsidRPr="00132CED">
        <w:rPr>
          <w:rFonts w:asciiTheme="minorHAnsi" w:hAnsiTheme="minorHAnsi" w:cstheme="minorHAnsi"/>
          <w:color w:val="auto"/>
          <w:sz w:val="22"/>
          <w:szCs w:val="22"/>
          <w:highlight w:val="yellow"/>
        </w:rPr>
        <w:t>pro potřebu financování</w:t>
      </w:r>
      <w:r>
        <w:rPr>
          <w:rFonts w:asciiTheme="minorHAnsi" w:hAnsiTheme="minorHAnsi" w:cstheme="minorHAnsi"/>
          <w:color w:val="auto"/>
          <w:sz w:val="22"/>
          <w:szCs w:val="22"/>
        </w:rPr>
        <w:t xml:space="preserve"> dále definován skupinou sociální služby.</w:t>
      </w:r>
    </w:p>
    <w:p w14:paraId="2EB04AB8" w14:textId="77777777" w:rsidR="00475554" w:rsidRDefault="00157B87">
      <w:pPr>
        <w:pStyle w:val="Default"/>
        <w:spacing w:before="120" w:after="120" w:line="276" w:lineRule="auto"/>
        <w:jc w:val="both"/>
        <w:rPr>
          <w:rFonts w:asciiTheme="minorHAnsi" w:hAnsiTheme="minorHAnsi" w:cstheme="minorHAnsi"/>
          <w:color w:val="auto"/>
          <w:sz w:val="22"/>
          <w:szCs w:val="22"/>
        </w:rPr>
      </w:pPr>
      <w:r>
        <w:rPr>
          <w:rFonts w:asciiTheme="minorHAnsi" w:hAnsiTheme="minorHAnsi" w:cstheme="minorHAnsi"/>
          <w:color w:val="auto"/>
          <w:sz w:val="22"/>
          <w:szCs w:val="22"/>
        </w:rPr>
        <w:t>U pobytových sociálních služeb může být skupina sociální služby určena cílovou skupinou a/nebo kapacitou sociální služby (viz Tabulka č. 3).</w:t>
      </w:r>
    </w:p>
    <w:p w14:paraId="3C2F50B5" w14:textId="153EE91F" w:rsidR="00475554" w:rsidRDefault="00157B87">
      <w:pPr>
        <w:pStyle w:val="Default"/>
        <w:spacing w:before="120" w:after="120" w:line="276" w:lineRule="auto"/>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U ambulantních a terénních sociálních služeb </w:t>
      </w:r>
      <w:r w:rsidR="00BF3A7A" w:rsidRPr="00F547CC">
        <w:rPr>
          <w:rFonts w:asciiTheme="minorHAnsi" w:hAnsiTheme="minorHAnsi" w:cstheme="minorHAnsi"/>
          <w:color w:val="auto"/>
          <w:sz w:val="22"/>
          <w:szCs w:val="22"/>
          <w:highlight w:val="yellow"/>
        </w:rPr>
        <w:t>jsou pro</w:t>
      </w:r>
      <w:r w:rsidR="000C21B2" w:rsidRPr="00F547CC">
        <w:rPr>
          <w:rFonts w:asciiTheme="minorHAnsi" w:hAnsiTheme="minorHAnsi" w:cstheme="minorHAnsi"/>
          <w:color w:val="auto"/>
          <w:sz w:val="22"/>
          <w:szCs w:val="22"/>
          <w:highlight w:val="yellow"/>
        </w:rPr>
        <w:t xml:space="preserve"> daný</w:t>
      </w:r>
      <w:r w:rsidR="00BF3A7A" w:rsidRPr="00F547CC">
        <w:rPr>
          <w:rFonts w:asciiTheme="minorHAnsi" w:hAnsiTheme="minorHAnsi" w:cstheme="minorHAnsi"/>
          <w:color w:val="auto"/>
          <w:sz w:val="22"/>
          <w:szCs w:val="22"/>
          <w:highlight w:val="yellow"/>
        </w:rPr>
        <w:t xml:space="preserve"> druh sociální služby obvyklé náklady stanoveny </w:t>
      </w:r>
      <w:r w:rsidR="000C21B2" w:rsidRPr="00F547CC">
        <w:rPr>
          <w:rFonts w:asciiTheme="minorHAnsi" w:hAnsiTheme="minorHAnsi" w:cstheme="minorHAnsi"/>
          <w:color w:val="auto"/>
          <w:sz w:val="22"/>
          <w:szCs w:val="22"/>
          <w:highlight w:val="yellow"/>
        </w:rPr>
        <w:t>jednotně</w:t>
      </w:r>
      <w:r w:rsidR="00FD3FFC">
        <w:rPr>
          <w:rFonts w:asciiTheme="minorHAnsi" w:hAnsiTheme="minorHAnsi" w:cstheme="minorHAnsi"/>
          <w:color w:val="auto"/>
          <w:sz w:val="22"/>
          <w:szCs w:val="22"/>
        </w:rPr>
        <w:t xml:space="preserve"> </w:t>
      </w:r>
      <w:r>
        <w:rPr>
          <w:rFonts w:asciiTheme="minorHAnsi" w:hAnsiTheme="minorHAnsi" w:cstheme="minorHAnsi"/>
          <w:color w:val="auto"/>
          <w:sz w:val="22"/>
          <w:szCs w:val="22"/>
        </w:rPr>
        <w:t>(viz Tabulka č. 6).</w:t>
      </w:r>
    </w:p>
    <w:p w14:paraId="7E37FDC0" w14:textId="77777777" w:rsidR="00475554" w:rsidRDefault="00157B87">
      <w:pPr>
        <w:pStyle w:val="Default"/>
        <w:spacing w:before="120" w:after="120" w:line="276" w:lineRule="auto"/>
        <w:jc w:val="both"/>
        <w:rPr>
          <w:rFonts w:asciiTheme="minorHAnsi" w:hAnsiTheme="minorHAnsi"/>
          <w:sz w:val="22"/>
          <w:szCs w:val="22"/>
        </w:rPr>
      </w:pPr>
      <w:r>
        <w:rPr>
          <w:rFonts w:asciiTheme="minorHAnsi" w:hAnsiTheme="minorHAnsi"/>
          <w:sz w:val="22"/>
          <w:szCs w:val="22"/>
        </w:rPr>
        <w:t>Způsob zařazení do cílové skupiny sociální služby bude řešen příslušným Programem.</w:t>
      </w:r>
    </w:p>
    <w:p w14:paraId="450EB253" w14:textId="77777777" w:rsidR="00475554" w:rsidRDefault="00157B87">
      <w:pPr>
        <w:pStyle w:val="Default"/>
        <w:spacing w:before="120" w:after="120" w:line="276" w:lineRule="auto"/>
        <w:jc w:val="both"/>
        <w:rPr>
          <w:rFonts w:asciiTheme="minorHAnsi" w:hAnsiTheme="minorHAnsi" w:cstheme="minorHAnsi"/>
          <w:color w:val="auto"/>
          <w:sz w:val="22"/>
          <w:szCs w:val="22"/>
        </w:rPr>
      </w:pPr>
      <w:r>
        <w:rPr>
          <w:rFonts w:asciiTheme="minorHAnsi" w:hAnsiTheme="minorHAnsi" w:cstheme="minorHAnsi"/>
          <w:color w:val="auto"/>
          <w:sz w:val="22"/>
          <w:szCs w:val="22"/>
        </w:rPr>
        <w:t>Při práci s Tabulkou č. 3 a Tabulkou č. 6 se vychází z těchto předpokladů:</w:t>
      </w:r>
    </w:p>
    <w:p w14:paraId="5FDBF27E" w14:textId="77777777" w:rsidR="00475554" w:rsidRDefault="00157B87">
      <w:pPr>
        <w:pStyle w:val="Default"/>
        <w:numPr>
          <w:ilvl w:val="0"/>
          <w:numId w:val="32"/>
        </w:numPr>
        <w:spacing w:before="120" w:after="120"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U těch druhů sociálních služeb, u nichž v rámci skupiny sociální služby není uvedena cílová skupina, ani kapacita sociální služby, je stanoven jednotný obvyklý náklad na jednotku pro daný druh sociální služby.</w:t>
      </w:r>
    </w:p>
    <w:p w14:paraId="50A14E31" w14:textId="53ABC9C1" w:rsidR="00475554" w:rsidRDefault="00157B87">
      <w:pPr>
        <w:pStyle w:val="Default"/>
        <w:spacing w:before="120" w:after="120" w:line="276" w:lineRule="auto"/>
        <w:jc w:val="both"/>
        <w:rPr>
          <w:rFonts w:asciiTheme="minorHAnsi" w:hAnsiTheme="minorHAnsi" w:cstheme="minorHAnsi"/>
          <w:sz w:val="22"/>
          <w:szCs w:val="22"/>
        </w:rPr>
      </w:pPr>
      <w:r>
        <w:rPr>
          <w:rFonts w:asciiTheme="minorHAnsi" w:hAnsiTheme="minorHAnsi" w:cstheme="minorHAnsi"/>
          <w:sz w:val="22"/>
          <w:szCs w:val="22"/>
        </w:rPr>
        <w:t xml:space="preserve">U těch druhů sociálních služeb, u nichž v rámci skupiny sociální služby je uvedena cílová skupina a/nebo kapacita sociální služby, </w:t>
      </w:r>
      <w:r w:rsidR="00F6214E" w:rsidRPr="00FF7489">
        <w:rPr>
          <w:rFonts w:asciiTheme="minorHAnsi" w:hAnsiTheme="minorHAnsi" w:cstheme="minorHAnsi"/>
          <w:sz w:val="22"/>
          <w:szCs w:val="22"/>
          <w:highlight w:val="yellow"/>
        </w:rPr>
        <w:t>může být</w:t>
      </w:r>
      <w:r w:rsidR="00F6214E">
        <w:rPr>
          <w:rFonts w:asciiTheme="minorHAnsi" w:hAnsiTheme="minorHAnsi" w:cstheme="minorHAnsi"/>
          <w:sz w:val="22"/>
          <w:szCs w:val="22"/>
        </w:rPr>
        <w:t xml:space="preserve"> </w:t>
      </w:r>
      <w:r>
        <w:rPr>
          <w:rFonts w:asciiTheme="minorHAnsi" w:hAnsiTheme="minorHAnsi" w:cstheme="minorHAnsi"/>
          <w:sz w:val="22"/>
          <w:szCs w:val="22"/>
        </w:rPr>
        <w:t>stanoven odlišný obvyklý náklad na jednotku pro danou skupinu sociální služby</w:t>
      </w:r>
      <w:r w:rsidR="00F6214E">
        <w:rPr>
          <w:rFonts w:asciiTheme="minorHAnsi" w:hAnsiTheme="minorHAnsi" w:cstheme="minorHAnsi"/>
          <w:sz w:val="22"/>
          <w:szCs w:val="22"/>
        </w:rPr>
        <w:t xml:space="preserve"> </w:t>
      </w:r>
      <w:r w:rsidR="00F6214E" w:rsidRPr="00FF7489">
        <w:rPr>
          <w:rFonts w:asciiTheme="minorHAnsi" w:hAnsiTheme="minorHAnsi" w:cstheme="minorHAnsi"/>
          <w:sz w:val="22"/>
          <w:szCs w:val="22"/>
          <w:highlight w:val="yellow"/>
        </w:rPr>
        <w:t xml:space="preserve">nebo </w:t>
      </w:r>
      <w:r w:rsidR="00D11426" w:rsidRPr="00FF7489">
        <w:rPr>
          <w:rFonts w:asciiTheme="minorHAnsi" w:hAnsiTheme="minorHAnsi" w:cstheme="minorHAnsi"/>
          <w:sz w:val="22"/>
          <w:szCs w:val="22"/>
          <w:highlight w:val="yellow"/>
        </w:rPr>
        <w:t>je důvodem rozdíl v nastavení vyrovnávací platby na straně zdrojů</w:t>
      </w:r>
      <w:r>
        <w:rPr>
          <w:rFonts w:asciiTheme="minorHAnsi" w:hAnsiTheme="minorHAnsi" w:cstheme="minorHAnsi"/>
          <w:sz w:val="22"/>
          <w:szCs w:val="22"/>
        </w:rPr>
        <w:t>.</w:t>
      </w:r>
    </w:p>
    <w:p w14:paraId="56C303B0" w14:textId="77777777" w:rsidR="0019284D" w:rsidRDefault="0019284D">
      <w:pPr>
        <w:pStyle w:val="Default"/>
        <w:spacing w:before="120" w:after="120" w:line="276" w:lineRule="auto"/>
        <w:jc w:val="both"/>
        <w:rPr>
          <w:rFonts w:asciiTheme="minorHAnsi" w:hAnsiTheme="minorHAnsi" w:cstheme="minorHAnsi"/>
          <w:sz w:val="22"/>
          <w:szCs w:val="22"/>
        </w:rPr>
      </w:pPr>
    </w:p>
    <w:p w14:paraId="5741840B" w14:textId="77777777" w:rsidR="00475554" w:rsidRDefault="00157B87">
      <w:pPr>
        <w:pStyle w:val="Default"/>
        <w:spacing w:before="120" w:after="240" w:line="276" w:lineRule="auto"/>
        <w:jc w:val="both"/>
        <w:rPr>
          <w:rFonts w:asciiTheme="minorHAnsi" w:hAnsiTheme="minorHAnsi" w:cs="Arial"/>
          <w:b/>
          <w:color w:val="4F81BD" w:themeColor="accent1"/>
          <w:sz w:val="22"/>
          <w:szCs w:val="22"/>
        </w:rPr>
      </w:pPr>
      <w:r>
        <w:rPr>
          <w:rFonts w:asciiTheme="minorHAnsi" w:hAnsiTheme="minorHAnsi" w:cs="Arial"/>
          <w:b/>
          <w:color w:val="4F81BD" w:themeColor="accent1"/>
          <w:sz w:val="22"/>
          <w:szCs w:val="22"/>
        </w:rPr>
        <w:t>Způsob stanovení obvyklých nákladů sociální služby</w:t>
      </w:r>
    </w:p>
    <w:p w14:paraId="07737676" w14:textId="77777777" w:rsidR="00475554" w:rsidRDefault="00157B87">
      <w:pPr>
        <w:pStyle w:val="Default"/>
        <w:spacing w:before="120" w:after="120" w:line="276" w:lineRule="auto"/>
        <w:jc w:val="both"/>
        <w:rPr>
          <w:rFonts w:asciiTheme="minorHAnsi" w:hAnsiTheme="minorHAnsi" w:cs="Arial"/>
          <w:color w:val="auto"/>
          <w:sz w:val="22"/>
          <w:szCs w:val="22"/>
        </w:rPr>
      </w:pPr>
      <w:r>
        <w:rPr>
          <w:rFonts w:asciiTheme="minorHAnsi" w:hAnsiTheme="minorHAnsi" w:cs="Arial"/>
          <w:b/>
          <w:color w:val="auto"/>
          <w:sz w:val="22"/>
          <w:szCs w:val="22"/>
        </w:rPr>
        <w:t>N</w:t>
      </w:r>
      <w:r>
        <w:rPr>
          <w:rFonts w:asciiTheme="minorHAnsi" w:hAnsiTheme="minorHAnsi" w:cs="Arial"/>
          <w:b/>
          <w:color w:val="auto"/>
          <w:sz w:val="12"/>
          <w:szCs w:val="12"/>
        </w:rPr>
        <w:t>o</w:t>
      </w:r>
      <w:r>
        <w:rPr>
          <w:rFonts w:asciiTheme="minorHAnsi" w:hAnsiTheme="minorHAnsi"/>
          <w:color w:val="auto"/>
          <w:sz w:val="22"/>
        </w:rPr>
        <w:t xml:space="preserve"> – </w:t>
      </w:r>
      <w:r>
        <w:rPr>
          <w:rFonts w:asciiTheme="minorHAnsi" w:hAnsiTheme="minorHAnsi" w:cs="Arial"/>
          <w:color w:val="auto"/>
          <w:sz w:val="22"/>
          <w:szCs w:val="22"/>
        </w:rPr>
        <w:t>obvyklý náklad</w:t>
      </w:r>
    </w:p>
    <w:p w14:paraId="739445E3" w14:textId="77777777" w:rsidR="00475554" w:rsidRDefault="00157B87">
      <w:pPr>
        <w:pStyle w:val="Default"/>
        <w:spacing w:before="120" w:after="120" w:line="276" w:lineRule="auto"/>
        <w:jc w:val="both"/>
        <w:rPr>
          <w:rFonts w:asciiTheme="minorHAnsi" w:hAnsiTheme="minorHAnsi" w:cs="Arial"/>
          <w:color w:val="auto"/>
          <w:sz w:val="22"/>
          <w:szCs w:val="22"/>
        </w:rPr>
      </w:pPr>
      <w:r>
        <w:rPr>
          <w:rFonts w:asciiTheme="minorHAnsi" w:hAnsiTheme="minorHAnsi" w:cs="Arial"/>
          <w:b/>
          <w:color w:val="auto"/>
          <w:sz w:val="22"/>
          <w:szCs w:val="22"/>
        </w:rPr>
        <w:t>N</w:t>
      </w:r>
      <w:r>
        <w:rPr>
          <w:rFonts w:asciiTheme="minorHAnsi" w:hAnsiTheme="minorHAnsi" w:cs="Arial"/>
          <w:b/>
          <w:color w:val="auto"/>
          <w:sz w:val="12"/>
          <w:szCs w:val="12"/>
        </w:rPr>
        <w:t>1</w:t>
      </w:r>
      <w:r>
        <w:rPr>
          <w:rFonts w:asciiTheme="minorHAnsi" w:hAnsiTheme="minorHAnsi"/>
          <w:color w:val="auto"/>
          <w:sz w:val="22"/>
        </w:rPr>
        <w:t xml:space="preserve"> – </w:t>
      </w:r>
      <w:r>
        <w:rPr>
          <w:rFonts w:asciiTheme="minorHAnsi" w:hAnsiTheme="minorHAnsi" w:cs="Arial"/>
          <w:color w:val="auto"/>
          <w:sz w:val="22"/>
          <w:szCs w:val="22"/>
        </w:rPr>
        <w:t>první průměr nákladů</w:t>
      </w:r>
    </w:p>
    <w:p w14:paraId="1A49F813" w14:textId="77777777" w:rsidR="00475554" w:rsidRDefault="00157B87">
      <w:pPr>
        <w:pStyle w:val="Default"/>
        <w:spacing w:before="120" w:after="120" w:line="276" w:lineRule="auto"/>
        <w:jc w:val="both"/>
        <w:rPr>
          <w:rFonts w:asciiTheme="minorHAnsi" w:hAnsiTheme="minorHAnsi" w:cs="Arial"/>
          <w:color w:val="auto"/>
          <w:sz w:val="22"/>
          <w:szCs w:val="22"/>
        </w:rPr>
      </w:pPr>
      <w:r>
        <w:rPr>
          <w:rFonts w:asciiTheme="minorHAnsi" w:hAnsiTheme="minorHAnsi" w:cs="Arial"/>
          <w:b/>
          <w:color w:val="auto"/>
          <w:sz w:val="22"/>
          <w:szCs w:val="22"/>
        </w:rPr>
        <w:t>N</w:t>
      </w:r>
      <w:r>
        <w:rPr>
          <w:rFonts w:asciiTheme="minorHAnsi" w:hAnsiTheme="minorHAnsi" w:cs="Arial"/>
          <w:b/>
          <w:color w:val="auto"/>
          <w:sz w:val="12"/>
          <w:szCs w:val="12"/>
        </w:rPr>
        <w:t>2</w:t>
      </w:r>
      <w:r>
        <w:rPr>
          <w:rFonts w:asciiTheme="minorHAnsi" w:hAnsiTheme="minorHAnsi"/>
          <w:color w:val="auto"/>
          <w:sz w:val="22"/>
        </w:rPr>
        <w:t xml:space="preserve"> – </w:t>
      </w:r>
      <w:r>
        <w:rPr>
          <w:rFonts w:asciiTheme="minorHAnsi" w:hAnsiTheme="minorHAnsi" w:cs="Arial"/>
          <w:color w:val="auto"/>
          <w:sz w:val="22"/>
          <w:szCs w:val="22"/>
        </w:rPr>
        <w:t>druhý průměr nákladů</w:t>
      </w:r>
    </w:p>
    <w:p w14:paraId="22BEA5E1" w14:textId="77777777" w:rsidR="00475554" w:rsidRDefault="00157B87">
      <w:pPr>
        <w:pStyle w:val="Default"/>
        <w:spacing w:before="120" w:after="120" w:line="276" w:lineRule="auto"/>
        <w:jc w:val="both"/>
        <w:rPr>
          <w:rFonts w:asciiTheme="minorHAnsi" w:hAnsiTheme="minorHAnsi" w:cs="Arial"/>
          <w:bCs/>
          <w:color w:val="auto"/>
          <w:sz w:val="22"/>
          <w:szCs w:val="22"/>
        </w:rPr>
      </w:pPr>
      <w:r>
        <w:rPr>
          <w:rFonts w:asciiTheme="minorHAnsi" w:hAnsiTheme="minorHAnsi" w:cs="Arial"/>
          <w:b/>
          <w:color w:val="auto"/>
          <w:sz w:val="22"/>
          <w:szCs w:val="22"/>
        </w:rPr>
        <w:t>M</w:t>
      </w:r>
      <w:r>
        <w:rPr>
          <w:rFonts w:asciiTheme="minorHAnsi" w:hAnsiTheme="minorHAnsi" w:cs="Arial"/>
          <w:color w:val="auto"/>
          <w:sz w:val="22"/>
          <w:szCs w:val="22"/>
        </w:rPr>
        <w:t xml:space="preserve"> – medián</w:t>
      </w:r>
    </w:p>
    <w:p w14:paraId="06EE6C54" w14:textId="77777777" w:rsidR="00475554" w:rsidRDefault="00157B87">
      <w:pPr>
        <w:pStyle w:val="Default"/>
        <w:spacing w:before="120" w:after="120" w:line="276" w:lineRule="auto"/>
        <w:jc w:val="both"/>
        <w:rPr>
          <w:rFonts w:asciiTheme="minorHAnsi" w:hAnsiTheme="minorHAnsi" w:cs="Arial"/>
          <w:bCs/>
          <w:color w:val="auto"/>
          <w:sz w:val="22"/>
          <w:szCs w:val="22"/>
        </w:rPr>
      </w:pPr>
      <w:r>
        <w:rPr>
          <w:rFonts w:asciiTheme="minorHAnsi" w:hAnsiTheme="minorHAnsi" w:cs="Arial"/>
          <w:b/>
          <w:color w:val="auto"/>
          <w:sz w:val="22"/>
          <w:szCs w:val="22"/>
        </w:rPr>
        <w:t>X</w:t>
      </w:r>
      <w:r>
        <w:rPr>
          <w:rFonts w:asciiTheme="minorHAnsi" w:hAnsiTheme="minorHAnsi" w:cs="Arial"/>
          <w:b/>
          <w:color w:val="auto"/>
          <w:sz w:val="12"/>
          <w:szCs w:val="12"/>
        </w:rPr>
        <w:t>p</w:t>
      </w:r>
      <w:r>
        <w:rPr>
          <w:rFonts w:asciiTheme="minorHAnsi" w:hAnsiTheme="minorHAnsi"/>
          <w:color w:val="auto"/>
          <w:sz w:val="22"/>
          <w:szCs w:val="22"/>
        </w:rPr>
        <w:t xml:space="preserve"> </w:t>
      </w:r>
      <w:r>
        <w:rPr>
          <w:rFonts w:asciiTheme="minorHAnsi" w:hAnsiTheme="minorHAnsi" w:cs="Arial"/>
          <w:color w:val="auto"/>
          <w:sz w:val="22"/>
          <w:szCs w:val="22"/>
        </w:rPr>
        <w:t>– náklad konkrétní sociální služby na stanovenou jednotku</w:t>
      </w:r>
    </w:p>
    <w:p w14:paraId="03BE7FDA" w14:textId="77777777" w:rsidR="00475554" w:rsidRDefault="00157B87">
      <w:pPr>
        <w:pStyle w:val="Default"/>
        <w:spacing w:before="120" w:after="120" w:line="276" w:lineRule="auto"/>
        <w:jc w:val="both"/>
        <w:rPr>
          <w:rFonts w:asciiTheme="minorHAnsi" w:hAnsiTheme="minorHAnsi" w:cs="Arial"/>
          <w:color w:val="auto"/>
          <w:sz w:val="22"/>
          <w:szCs w:val="22"/>
        </w:rPr>
      </w:pPr>
      <w:r>
        <w:rPr>
          <w:rFonts w:asciiTheme="minorHAnsi" w:hAnsiTheme="minorHAnsi" w:cs="Arial"/>
          <w:b/>
          <w:color w:val="auto"/>
          <w:sz w:val="22"/>
          <w:szCs w:val="22"/>
        </w:rPr>
        <w:t>X</w:t>
      </w:r>
      <w:r>
        <w:rPr>
          <w:rFonts w:asciiTheme="minorHAnsi" w:hAnsiTheme="minorHAnsi" w:cs="Arial"/>
          <w:b/>
          <w:color w:val="auto"/>
          <w:sz w:val="12"/>
          <w:szCs w:val="12"/>
        </w:rPr>
        <w:t>m</w:t>
      </w:r>
      <w:r>
        <w:rPr>
          <w:rFonts w:asciiTheme="minorHAnsi" w:hAnsiTheme="minorHAnsi" w:cs="Arial"/>
          <w:b/>
          <w:color w:val="auto"/>
          <w:sz w:val="22"/>
          <w:szCs w:val="22"/>
        </w:rPr>
        <w:t xml:space="preserve"> </w:t>
      </w:r>
      <w:r>
        <w:rPr>
          <w:rFonts w:asciiTheme="minorHAnsi" w:hAnsiTheme="minorHAnsi"/>
          <w:color w:val="auto"/>
          <w:sz w:val="22"/>
        </w:rPr>
        <w:t xml:space="preserve">– </w:t>
      </w:r>
      <w:r>
        <w:rPr>
          <w:rFonts w:asciiTheme="minorHAnsi" w:hAnsiTheme="minorHAnsi" w:cs="Arial"/>
          <w:color w:val="auto"/>
          <w:sz w:val="22"/>
          <w:szCs w:val="22"/>
        </w:rPr>
        <w:t>náklady všech poskytovatelů sociálních služeb daného druhu sociální služby</w:t>
      </w:r>
    </w:p>
    <w:p w14:paraId="3E3B7D8D" w14:textId="77777777" w:rsidR="00475554" w:rsidRDefault="00157B87">
      <w:pPr>
        <w:pStyle w:val="Default"/>
        <w:spacing w:before="120" w:after="120" w:line="276" w:lineRule="auto"/>
        <w:jc w:val="both"/>
        <w:rPr>
          <w:rFonts w:asciiTheme="minorHAnsi" w:hAnsiTheme="minorHAnsi" w:cs="Arial"/>
          <w:color w:val="auto"/>
          <w:sz w:val="22"/>
          <w:szCs w:val="22"/>
        </w:rPr>
      </w:pPr>
      <w:r>
        <w:rPr>
          <w:rFonts w:asciiTheme="minorHAnsi" w:hAnsiTheme="minorHAnsi" w:cs="Arial"/>
          <w:b/>
          <w:color w:val="auto"/>
          <w:sz w:val="22"/>
          <w:szCs w:val="22"/>
        </w:rPr>
        <w:t>J</w:t>
      </w:r>
      <w:r>
        <w:rPr>
          <w:rFonts w:asciiTheme="minorHAnsi" w:hAnsiTheme="minorHAnsi" w:cs="Arial"/>
          <w:color w:val="auto"/>
          <w:sz w:val="22"/>
          <w:szCs w:val="22"/>
        </w:rPr>
        <w:t xml:space="preserve"> –</w:t>
      </w:r>
      <w:r>
        <w:rPr>
          <w:sz w:val="22"/>
          <w:szCs w:val="22"/>
        </w:rPr>
        <w:t xml:space="preserve"> </w:t>
      </w:r>
      <w:r>
        <w:rPr>
          <w:rFonts w:asciiTheme="minorHAnsi" w:hAnsiTheme="minorHAnsi" w:cs="Arial"/>
          <w:color w:val="auto"/>
          <w:sz w:val="22"/>
          <w:szCs w:val="22"/>
        </w:rPr>
        <w:t>počet všech sociálních služeb</w:t>
      </w:r>
    </w:p>
    <w:p w14:paraId="0B4C5C46" w14:textId="3E45881B" w:rsidR="00475554" w:rsidRDefault="00157B87">
      <w:pPr>
        <w:pStyle w:val="Default"/>
        <w:spacing w:before="120" w:after="120" w:line="276" w:lineRule="auto"/>
        <w:jc w:val="both"/>
        <w:rPr>
          <w:rFonts w:asciiTheme="minorHAnsi" w:hAnsiTheme="minorHAnsi" w:cs="Arial"/>
          <w:bCs/>
          <w:color w:val="auto"/>
          <w:sz w:val="22"/>
          <w:szCs w:val="22"/>
        </w:rPr>
      </w:pPr>
      <w:r>
        <w:rPr>
          <w:rFonts w:asciiTheme="minorHAnsi" w:hAnsiTheme="minorHAnsi" w:cs="Arial"/>
          <w:b/>
          <w:color w:val="auto"/>
          <w:sz w:val="22"/>
          <w:szCs w:val="22"/>
        </w:rPr>
        <w:lastRenderedPageBreak/>
        <w:t>J</w:t>
      </w:r>
      <w:r>
        <w:rPr>
          <w:rFonts w:asciiTheme="minorHAnsi" w:hAnsiTheme="minorHAnsi" w:cs="Arial"/>
          <w:b/>
          <w:color w:val="auto"/>
          <w:sz w:val="12"/>
          <w:szCs w:val="12"/>
        </w:rPr>
        <w:t>k</w:t>
      </w:r>
      <w:r>
        <w:rPr>
          <w:rFonts w:asciiTheme="minorHAnsi" w:hAnsiTheme="minorHAnsi" w:cs="Arial"/>
          <w:color w:val="auto"/>
          <w:sz w:val="22"/>
          <w:szCs w:val="22"/>
        </w:rPr>
        <w:t xml:space="preserve"> – součet</w:t>
      </w:r>
      <w:r>
        <w:rPr>
          <w:rFonts w:asciiTheme="minorHAnsi" w:hAnsiTheme="minorHAnsi" w:cs="Arial"/>
          <w:b/>
          <w:color w:val="auto"/>
          <w:sz w:val="22"/>
          <w:szCs w:val="22"/>
        </w:rPr>
        <w:t xml:space="preserve"> </w:t>
      </w:r>
      <w:r>
        <w:rPr>
          <w:rFonts w:asciiTheme="minorHAnsi" w:hAnsiTheme="minorHAnsi" w:cs="Arial"/>
          <w:color w:val="auto"/>
          <w:sz w:val="22"/>
          <w:szCs w:val="22"/>
        </w:rPr>
        <w:t xml:space="preserve">všech </w:t>
      </w:r>
      <w:r w:rsidR="00004C1B" w:rsidRPr="001631B0">
        <w:rPr>
          <w:rFonts w:asciiTheme="minorHAnsi" w:hAnsiTheme="minorHAnsi" w:cs="Arial"/>
          <w:color w:val="auto"/>
          <w:sz w:val="22"/>
          <w:szCs w:val="22"/>
          <w:highlight w:val="yellow"/>
        </w:rPr>
        <w:t>hodnot</w:t>
      </w:r>
      <w:r w:rsidR="00004C1B">
        <w:rPr>
          <w:rFonts w:asciiTheme="minorHAnsi" w:hAnsiTheme="minorHAnsi" w:cs="Arial"/>
          <w:color w:val="auto"/>
          <w:sz w:val="22"/>
          <w:szCs w:val="22"/>
        </w:rPr>
        <w:t xml:space="preserve"> </w:t>
      </w:r>
      <w:r>
        <w:rPr>
          <w:rFonts w:asciiTheme="minorHAnsi" w:hAnsiTheme="minorHAnsi" w:cs="Arial"/>
          <w:color w:val="auto"/>
          <w:sz w:val="22"/>
          <w:szCs w:val="22"/>
        </w:rPr>
        <w:t>jednotk</w:t>
      </w:r>
      <w:r w:rsidR="00004C1B">
        <w:rPr>
          <w:rFonts w:asciiTheme="minorHAnsi" w:hAnsiTheme="minorHAnsi" w:cs="Arial"/>
          <w:color w:val="auto"/>
          <w:sz w:val="22"/>
          <w:szCs w:val="22"/>
        </w:rPr>
        <w:t>y</w:t>
      </w:r>
      <w:r>
        <w:rPr>
          <w:rFonts w:asciiTheme="minorHAnsi" w:hAnsiTheme="minorHAnsi" w:cs="Arial"/>
          <w:color w:val="auto"/>
          <w:sz w:val="22"/>
          <w:szCs w:val="22"/>
        </w:rPr>
        <w:t xml:space="preserve"> stanoven</w:t>
      </w:r>
      <w:r w:rsidR="00004C1B">
        <w:rPr>
          <w:rFonts w:asciiTheme="minorHAnsi" w:hAnsiTheme="minorHAnsi" w:cs="Arial"/>
          <w:color w:val="auto"/>
          <w:sz w:val="22"/>
          <w:szCs w:val="22"/>
        </w:rPr>
        <w:t>é</w:t>
      </w:r>
      <w:r>
        <w:rPr>
          <w:rFonts w:asciiTheme="minorHAnsi" w:hAnsiTheme="minorHAnsi" w:cs="Arial"/>
          <w:color w:val="auto"/>
          <w:sz w:val="22"/>
          <w:szCs w:val="22"/>
        </w:rPr>
        <w:t xml:space="preserve"> pro daný druh sociální služby</w:t>
      </w:r>
    </w:p>
    <w:p w14:paraId="0B7C98F0" w14:textId="77777777" w:rsidR="00475554" w:rsidRDefault="00157B87">
      <w:pPr>
        <w:pStyle w:val="Default"/>
        <w:spacing w:before="120" w:after="240" w:line="276" w:lineRule="auto"/>
        <w:jc w:val="both"/>
        <w:rPr>
          <w:rFonts w:asciiTheme="minorHAnsi" w:hAnsiTheme="minorHAnsi" w:cs="Arial"/>
          <w:b/>
          <w:color w:val="auto"/>
          <w:sz w:val="22"/>
          <w:szCs w:val="22"/>
        </w:rPr>
      </w:pPr>
      <w:r>
        <w:rPr>
          <w:rFonts w:asciiTheme="minorHAnsi" w:hAnsiTheme="minorHAnsi" w:cs="Arial"/>
          <w:b/>
          <w:color w:val="auto"/>
          <w:sz w:val="22"/>
          <w:szCs w:val="22"/>
        </w:rPr>
        <w:t>Pro stanovení obvyklých nákladů na jednotku je pracováno se střední hodnotou stanovenou na základě propočtů:</w:t>
      </w:r>
    </w:p>
    <w:p w14:paraId="4603E8CF" w14:textId="77777777" w:rsidR="00475554" w:rsidRDefault="00157B87">
      <w:pPr>
        <w:pStyle w:val="Default"/>
        <w:numPr>
          <w:ilvl w:val="1"/>
          <w:numId w:val="2"/>
        </w:numPr>
        <w:spacing w:before="120" w:after="120" w:line="276" w:lineRule="auto"/>
        <w:ind w:left="426" w:hanging="426"/>
        <w:jc w:val="both"/>
        <w:rPr>
          <w:rFonts w:ascii="Calibri" w:hAnsi="Calibri" w:cs="Arial"/>
          <w:b/>
        </w:rPr>
      </w:pPr>
      <w:r>
        <w:rPr>
          <w:rFonts w:asciiTheme="minorHAnsi" w:hAnsiTheme="minorHAnsi" w:cs="Arial"/>
          <w:b/>
          <w:color w:val="auto"/>
          <w:sz w:val="22"/>
          <w:szCs w:val="22"/>
        </w:rPr>
        <w:t>N</w:t>
      </w:r>
      <w:r>
        <w:rPr>
          <w:rFonts w:asciiTheme="minorHAnsi" w:hAnsiTheme="minorHAnsi" w:cs="Arial"/>
          <w:b/>
          <w:color w:val="auto"/>
          <w:sz w:val="12"/>
          <w:szCs w:val="12"/>
        </w:rPr>
        <w:t>1</w:t>
      </w:r>
      <w:r>
        <w:t xml:space="preserve"> = </w:t>
      </w:r>
      <w:r>
        <w:rPr>
          <w:rFonts w:asciiTheme="minorHAnsi" w:hAnsiTheme="minorHAnsi" w:cs="Arial"/>
          <w:b/>
          <w:color w:val="auto"/>
          <w:sz w:val="22"/>
          <w:szCs w:val="22"/>
        </w:rPr>
        <w:t>X</w:t>
      </w:r>
      <w:r>
        <w:rPr>
          <w:rFonts w:asciiTheme="minorHAnsi" w:hAnsiTheme="minorHAnsi" w:cs="Arial"/>
          <w:b/>
          <w:color w:val="auto"/>
          <w:sz w:val="12"/>
          <w:szCs w:val="12"/>
        </w:rPr>
        <w:t xml:space="preserve">p </w:t>
      </w:r>
      <w:r>
        <w:rPr>
          <w:rFonts w:asciiTheme="minorHAnsi" w:hAnsiTheme="minorHAnsi" w:cs="Arial"/>
          <w:color w:val="auto"/>
          <w:sz w:val="22"/>
          <w:szCs w:val="22"/>
        </w:rPr>
        <w:t xml:space="preserve">+ </w:t>
      </w:r>
      <w:r>
        <w:rPr>
          <w:rFonts w:asciiTheme="minorHAnsi" w:hAnsiTheme="minorHAnsi" w:cs="Arial"/>
          <w:b/>
          <w:color w:val="auto"/>
          <w:sz w:val="22"/>
          <w:szCs w:val="22"/>
        </w:rPr>
        <w:t>X</w:t>
      </w:r>
      <w:r>
        <w:rPr>
          <w:rFonts w:asciiTheme="minorHAnsi" w:hAnsiTheme="minorHAnsi" w:cs="Arial"/>
          <w:b/>
          <w:color w:val="auto"/>
          <w:sz w:val="12"/>
          <w:szCs w:val="12"/>
        </w:rPr>
        <w:t xml:space="preserve">p1 </w:t>
      </w:r>
      <w:r>
        <w:rPr>
          <w:rFonts w:asciiTheme="minorHAnsi" w:hAnsiTheme="minorHAnsi" w:cs="Arial"/>
          <w:color w:val="auto"/>
          <w:sz w:val="22"/>
          <w:szCs w:val="22"/>
        </w:rPr>
        <w:t xml:space="preserve">+ </w:t>
      </w:r>
      <w:r>
        <w:rPr>
          <w:rFonts w:asciiTheme="minorHAnsi" w:hAnsiTheme="minorHAnsi" w:cs="Arial"/>
          <w:b/>
          <w:color w:val="auto"/>
          <w:sz w:val="22"/>
          <w:szCs w:val="22"/>
        </w:rPr>
        <w:t>X</w:t>
      </w:r>
      <w:r>
        <w:rPr>
          <w:rFonts w:asciiTheme="minorHAnsi" w:hAnsiTheme="minorHAnsi" w:cs="Arial"/>
          <w:b/>
          <w:color w:val="auto"/>
          <w:sz w:val="12"/>
          <w:szCs w:val="12"/>
        </w:rPr>
        <w:t xml:space="preserve">p2 </w:t>
      </w:r>
      <w:r>
        <w:rPr>
          <w:rFonts w:asciiTheme="minorHAnsi" w:hAnsiTheme="minorHAnsi" w:cs="Arial"/>
          <w:color w:val="auto"/>
          <w:sz w:val="22"/>
          <w:szCs w:val="22"/>
        </w:rPr>
        <w:t>+…… /</w:t>
      </w:r>
      <w:r>
        <w:rPr>
          <w:rFonts w:asciiTheme="minorHAnsi" w:hAnsiTheme="minorHAnsi" w:cs="Arial"/>
          <w:b/>
          <w:color w:val="auto"/>
          <w:sz w:val="22"/>
          <w:szCs w:val="22"/>
        </w:rPr>
        <w:t xml:space="preserve"> J</w:t>
      </w:r>
    </w:p>
    <w:p w14:paraId="0B1DB4F7" w14:textId="5A32E13F" w:rsidR="00470895" w:rsidRDefault="00157B87" w:rsidP="00470895">
      <w:pPr>
        <w:pStyle w:val="Odstavecseseznamem"/>
        <w:spacing w:before="120" w:after="120"/>
        <w:ind w:left="426"/>
        <w:jc w:val="both"/>
        <w:rPr>
          <w:rFonts w:cs="Arial"/>
          <w:color w:val="000000" w:themeColor="text1"/>
          <w:spacing w:val="-2"/>
        </w:rPr>
      </w:pPr>
      <w:r w:rsidRPr="5E9F2BA3">
        <w:rPr>
          <w:rFonts w:cs="Arial"/>
          <w:b/>
          <w:bCs/>
        </w:rPr>
        <w:t>N</w:t>
      </w:r>
      <w:r w:rsidRPr="5E9F2BA3">
        <w:rPr>
          <w:rFonts w:cs="Arial"/>
          <w:b/>
          <w:bCs/>
          <w:sz w:val="12"/>
          <w:szCs w:val="12"/>
        </w:rPr>
        <w:t>1</w:t>
      </w:r>
      <w:r>
        <w:t xml:space="preserve"> </w:t>
      </w:r>
      <w:r>
        <w:rPr>
          <w:rFonts w:cs="Arial"/>
          <w:color w:val="000000" w:themeColor="text1"/>
        </w:rPr>
        <w:t xml:space="preserve">jedná se o průměrnou hodnotu nákladu. První průměr je vypočítán z hodnot průměrných </w:t>
      </w:r>
      <w:r>
        <w:rPr>
          <w:rFonts w:cs="Arial"/>
          <w:color w:val="000000" w:themeColor="text1"/>
          <w:spacing w:val="-2"/>
        </w:rPr>
        <w:t>nákladů na stanovenou jednotku všech jednotlivých služeb v rámci daného druhu sociálních služeb</w:t>
      </w:r>
      <w:r w:rsidR="000642C2" w:rsidRPr="62819888">
        <w:rPr>
          <w:rFonts w:cs="Arial"/>
          <w:color w:val="000000" w:themeColor="text1"/>
        </w:rPr>
        <w:t xml:space="preserve"> </w:t>
      </w:r>
      <w:r w:rsidR="00260F1E" w:rsidRPr="62819888">
        <w:rPr>
          <w:rFonts w:cs="Arial"/>
          <w:color w:val="000000" w:themeColor="text1"/>
        </w:rPr>
        <w:t>očištěn</w:t>
      </w:r>
      <w:r w:rsidR="001819E6" w:rsidRPr="62819888">
        <w:rPr>
          <w:rFonts w:cs="Arial"/>
          <w:color w:val="000000" w:themeColor="text1"/>
        </w:rPr>
        <w:t>ých o</w:t>
      </w:r>
      <w:r w:rsidR="000642C2" w:rsidRPr="62819888">
        <w:rPr>
          <w:rFonts w:cs="Arial"/>
          <w:color w:val="000000" w:themeColor="text1"/>
        </w:rPr>
        <w:t xml:space="preserve"> mezní hodnot</w:t>
      </w:r>
      <w:r w:rsidR="001819E6" w:rsidRPr="62819888">
        <w:rPr>
          <w:rFonts w:cs="Arial"/>
          <w:color w:val="000000" w:themeColor="text1"/>
        </w:rPr>
        <w:t>y</w:t>
      </w:r>
      <w:r w:rsidR="000642C2" w:rsidRPr="62819888">
        <w:rPr>
          <w:rFonts w:cs="Arial"/>
          <w:color w:val="000000" w:themeColor="text1"/>
        </w:rPr>
        <w:t xml:space="preserve"> (minimum a maximum</w:t>
      </w:r>
      <w:r w:rsidR="003676FE" w:rsidRPr="62819888">
        <w:rPr>
          <w:rFonts w:cs="Arial"/>
          <w:color w:val="000000" w:themeColor="text1"/>
        </w:rPr>
        <w:t>)</w:t>
      </w:r>
      <w:r>
        <w:rPr>
          <w:rFonts w:cs="Arial"/>
          <w:color w:val="000000" w:themeColor="text1"/>
          <w:spacing w:val="-2"/>
        </w:rPr>
        <w:t>.</w:t>
      </w:r>
      <w:r w:rsidR="00E31B63">
        <w:rPr>
          <w:rFonts w:cs="Arial"/>
          <w:color w:val="000000" w:themeColor="text1"/>
          <w:spacing w:val="-2"/>
        </w:rPr>
        <w:t xml:space="preserve"> </w:t>
      </w:r>
    </w:p>
    <w:p w14:paraId="6E9CF162" w14:textId="26020D38" w:rsidR="00475554" w:rsidRDefault="00157B87" w:rsidP="006B345C">
      <w:pPr>
        <w:pStyle w:val="Default"/>
        <w:numPr>
          <w:ilvl w:val="1"/>
          <w:numId w:val="2"/>
        </w:numPr>
        <w:spacing w:before="120" w:after="120" w:line="276" w:lineRule="auto"/>
        <w:ind w:left="426" w:hanging="426"/>
        <w:jc w:val="both"/>
        <w:rPr>
          <w:rFonts w:asciiTheme="minorHAnsi" w:hAnsiTheme="minorHAnsi" w:cs="Arial"/>
          <w:b/>
          <w:color w:val="auto"/>
          <w:sz w:val="22"/>
          <w:szCs w:val="22"/>
        </w:rPr>
      </w:pPr>
      <w:r>
        <w:rPr>
          <w:rFonts w:asciiTheme="minorHAnsi" w:hAnsiTheme="minorHAnsi" w:cs="Arial"/>
          <w:b/>
          <w:color w:val="auto"/>
          <w:sz w:val="22"/>
          <w:szCs w:val="22"/>
        </w:rPr>
        <w:t>N</w:t>
      </w:r>
      <w:r>
        <w:rPr>
          <w:rFonts w:asciiTheme="minorHAnsi" w:hAnsiTheme="minorHAnsi" w:cs="Arial"/>
          <w:b/>
          <w:color w:val="auto"/>
          <w:sz w:val="12"/>
          <w:szCs w:val="12"/>
        </w:rPr>
        <w:t>2</w:t>
      </w:r>
      <w:r>
        <w:rPr>
          <w:b/>
        </w:rPr>
        <w:t xml:space="preserve"> = </w:t>
      </w:r>
      <w:r>
        <w:rPr>
          <w:rFonts w:asciiTheme="minorHAnsi" w:hAnsiTheme="minorHAnsi" w:cs="Arial"/>
          <w:b/>
          <w:color w:val="auto"/>
          <w:sz w:val="22"/>
          <w:szCs w:val="22"/>
        </w:rPr>
        <w:t>X</w:t>
      </w:r>
      <w:r>
        <w:rPr>
          <w:rFonts w:asciiTheme="minorHAnsi" w:hAnsiTheme="minorHAnsi" w:cs="Arial"/>
          <w:b/>
          <w:color w:val="auto"/>
          <w:sz w:val="12"/>
          <w:szCs w:val="12"/>
        </w:rPr>
        <w:t xml:space="preserve">m </w:t>
      </w:r>
      <w:r>
        <w:rPr>
          <w:rFonts w:asciiTheme="minorHAnsi" w:hAnsiTheme="minorHAnsi" w:cs="Arial"/>
          <w:b/>
          <w:color w:val="auto"/>
          <w:sz w:val="22"/>
          <w:szCs w:val="22"/>
        </w:rPr>
        <w:t>/ J</w:t>
      </w:r>
      <w:r>
        <w:rPr>
          <w:rFonts w:asciiTheme="minorHAnsi" w:hAnsiTheme="minorHAnsi" w:cs="Arial"/>
          <w:b/>
          <w:color w:val="auto"/>
          <w:sz w:val="12"/>
          <w:szCs w:val="12"/>
        </w:rPr>
        <w:t>k</w:t>
      </w:r>
    </w:p>
    <w:p w14:paraId="65889124" w14:textId="6CCB5FB5" w:rsidR="00F16D25" w:rsidRPr="00F16D25" w:rsidRDefault="00157B87" w:rsidP="00F16D25">
      <w:pPr>
        <w:pStyle w:val="Default"/>
        <w:spacing w:before="120" w:after="120" w:line="276" w:lineRule="auto"/>
        <w:ind w:left="426"/>
        <w:jc w:val="both"/>
        <w:rPr>
          <w:rFonts w:asciiTheme="minorHAnsi" w:hAnsiTheme="minorHAnsi" w:cs="Arial"/>
          <w:b/>
          <w:color w:val="auto"/>
          <w:sz w:val="22"/>
          <w:szCs w:val="22"/>
        </w:rPr>
      </w:pPr>
      <w:r>
        <w:rPr>
          <w:rFonts w:asciiTheme="minorHAnsi" w:hAnsiTheme="minorHAnsi" w:cs="Arial"/>
          <w:b/>
          <w:color w:val="auto"/>
          <w:sz w:val="22"/>
          <w:szCs w:val="22"/>
        </w:rPr>
        <w:t>N</w:t>
      </w:r>
      <w:r>
        <w:rPr>
          <w:rFonts w:asciiTheme="minorHAnsi" w:hAnsiTheme="minorHAnsi" w:cs="Arial"/>
          <w:b/>
          <w:color w:val="auto"/>
          <w:sz w:val="12"/>
          <w:szCs w:val="12"/>
        </w:rPr>
        <w:t>2</w:t>
      </w:r>
      <w:r>
        <w:t xml:space="preserve"> </w:t>
      </w:r>
      <w:r>
        <w:rPr>
          <w:rFonts w:asciiTheme="minorHAnsi" w:hAnsiTheme="minorHAnsi" w:cs="Arial"/>
          <w:color w:val="000000" w:themeColor="text1"/>
          <w:sz w:val="22"/>
          <w:szCs w:val="22"/>
        </w:rPr>
        <w:t xml:space="preserve">jedná se o podíl, v rámci jehož čitatele byly sečteny náklady všech jednotlivých služeb v rámci daného druhu sociálních služeb a v rámci jmenovatele byly sečteny všechny hodnoty </w:t>
      </w:r>
      <w:r w:rsidR="006B345C" w:rsidRPr="00FC7AA2">
        <w:rPr>
          <w:rFonts w:asciiTheme="minorHAnsi" w:hAnsiTheme="minorHAnsi" w:cs="Arial"/>
          <w:color w:val="000000" w:themeColor="text1"/>
          <w:sz w:val="22"/>
          <w:szCs w:val="22"/>
          <w:highlight w:val="yellow"/>
        </w:rPr>
        <w:t>jednotky stanovené pro daný druh</w:t>
      </w:r>
      <w:r w:rsidR="006B345C">
        <w:rPr>
          <w:rFonts w:asciiTheme="minorHAnsi" w:hAnsiTheme="minorHAnsi" w:cs="Arial"/>
          <w:color w:val="000000" w:themeColor="text1"/>
          <w:sz w:val="22"/>
          <w:szCs w:val="22"/>
        </w:rPr>
        <w:t xml:space="preserve"> </w:t>
      </w:r>
      <w:r>
        <w:rPr>
          <w:rFonts w:asciiTheme="minorHAnsi" w:hAnsiTheme="minorHAnsi" w:cs="Arial"/>
          <w:color w:val="000000" w:themeColor="text1"/>
          <w:sz w:val="22"/>
          <w:szCs w:val="22"/>
        </w:rPr>
        <w:t>sociální služb</w:t>
      </w:r>
      <w:r w:rsidR="006B345C">
        <w:rPr>
          <w:rFonts w:asciiTheme="minorHAnsi" w:hAnsiTheme="minorHAnsi" w:cs="Arial"/>
          <w:color w:val="000000" w:themeColor="text1"/>
          <w:sz w:val="22"/>
          <w:szCs w:val="22"/>
        </w:rPr>
        <w:t>y</w:t>
      </w:r>
      <w:r>
        <w:rPr>
          <w:rFonts w:asciiTheme="minorHAnsi" w:hAnsiTheme="minorHAnsi" w:cs="Arial"/>
          <w:color w:val="000000" w:themeColor="text1"/>
          <w:sz w:val="22"/>
          <w:szCs w:val="22"/>
        </w:rPr>
        <w:t>.</w:t>
      </w:r>
    </w:p>
    <w:p w14:paraId="1377BDE6" w14:textId="6A915C23" w:rsidR="00475554" w:rsidRDefault="00157B87">
      <w:pPr>
        <w:pStyle w:val="Default"/>
        <w:numPr>
          <w:ilvl w:val="1"/>
          <w:numId w:val="2"/>
        </w:numPr>
        <w:tabs>
          <w:tab w:val="left" w:pos="426"/>
        </w:tabs>
        <w:spacing w:before="120" w:after="120" w:line="276" w:lineRule="auto"/>
        <w:ind w:left="709" w:hanging="709"/>
        <w:jc w:val="both"/>
        <w:rPr>
          <w:rFonts w:asciiTheme="minorHAnsi" w:hAnsiTheme="minorHAnsi" w:cs="Arial"/>
          <w:b/>
          <w:color w:val="auto"/>
          <w:sz w:val="22"/>
          <w:szCs w:val="22"/>
        </w:rPr>
      </w:pPr>
      <w:r>
        <w:rPr>
          <w:rFonts w:asciiTheme="minorHAnsi" w:hAnsiTheme="minorHAnsi" w:cs="Arial"/>
          <w:b/>
          <w:color w:val="auto"/>
          <w:sz w:val="22"/>
          <w:szCs w:val="22"/>
        </w:rPr>
        <w:t xml:space="preserve">M </w:t>
      </w:r>
      <w:r>
        <w:t>=</w:t>
      </w:r>
      <w:r>
        <w:rPr>
          <w:rFonts w:asciiTheme="minorHAnsi" w:hAnsiTheme="minorHAnsi" w:cs="Arial"/>
          <w:b/>
          <w:color w:val="auto"/>
          <w:sz w:val="22"/>
          <w:szCs w:val="22"/>
        </w:rPr>
        <w:t xml:space="preserve"> Medián</w:t>
      </w:r>
    </w:p>
    <w:p w14:paraId="73BCD274" w14:textId="77777777" w:rsidR="00475554" w:rsidRDefault="00157B87">
      <w:pPr>
        <w:pStyle w:val="Default"/>
        <w:spacing w:before="120" w:after="120" w:line="276" w:lineRule="auto"/>
        <w:ind w:left="426"/>
        <w:jc w:val="both"/>
        <w:rPr>
          <w:rFonts w:asciiTheme="minorHAnsi" w:hAnsiTheme="minorHAnsi" w:cs="Arial"/>
          <w:color w:val="000000" w:themeColor="text1"/>
          <w:sz w:val="22"/>
          <w:szCs w:val="22"/>
        </w:rPr>
      </w:pPr>
      <w:r>
        <w:rPr>
          <w:rFonts w:asciiTheme="minorHAnsi" w:hAnsiTheme="minorHAnsi" w:cs="Arial"/>
          <w:color w:val="000000" w:themeColor="text1"/>
          <w:sz w:val="22"/>
          <w:szCs w:val="22"/>
        </w:rPr>
        <w:t>Jedná se o hodnotu, která dělí statistickou řadu podle velikosti seřazených hodnot na dvě stejně početné poloviny. Za statistickou řadu jsou brány hodnoty průměru N</w:t>
      </w:r>
      <w:r>
        <w:rPr>
          <w:rFonts w:asciiTheme="minorHAnsi" w:hAnsiTheme="minorHAnsi" w:cs="Arial"/>
          <w:color w:val="000000" w:themeColor="text1"/>
          <w:sz w:val="12"/>
          <w:szCs w:val="12"/>
        </w:rPr>
        <w:t>1</w:t>
      </w:r>
      <w:r>
        <w:rPr>
          <w:rFonts w:asciiTheme="minorHAnsi" w:hAnsiTheme="minorHAnsi" w:cs="Arial"/>
          <w:color w:val="000000" w:themeColor="text1"/>
          <w:sz w:val="22"/>
          <w:szCs w:val="22"/>
        </w:rPr>
        <w:t>.</w:t>
      </w:r>
    </w:p>
    <w:p w14:paraId="2DE2AB4C" w14:textId="77777777" w:rsidR="00475554" w:rsidRDefault="00157B87">
      <w:pPr>
        <w:pStyle w:val="Default"/>
        <w:numPr>
          <w:ilvl w:val="1"/>
          <w:numId w:val="2"/>
        </w:numPr>
        <w:spacing w:before="120" w:after="120" w:line="276" w:lineRule="auto"/>
        <w:ind w:left="426" w:hanging="426"/>
        <w:jc w:val="both"/>
        <w:rPr>
          <w:rFonts w:asciiTheme="minorHAnsi" w:hAnsiTheme="minorHAnsi" w:cs="Arial"/>
          <w:b/>
          <w:color w:val="auto"/>
          <w:sz w:val="22"/>
          <w:szCs w:val="22"/>
        </w:rPr>
      </w:pPr>
      <w:r>
        <w:rPr>
          <w:rFonts w:asciiTheme="minorHAnsi" w:hAnsiTheme="minorHAnsi" w:cs="Arial"/>
          <w:b/>
          <w:color w:val="auto"/>
          <w:sz w:val="22"/>
          <w:szCs w:val="22"/>
        </w:rPr>
        <w:t>N</w:t>
      </w:r>
      <w:r>
        <w:rPr>
          <w:rFonts w:asciiTheme="minorHAnsi" w:hAnsiTheme="minorHAnsi" w:cs="Arial"/>
          <w:b/>
          <w:color w:val="auto"/>
          <w:sz w:val="12"/>
          <w:szCs w:val="12"/>
        </w:rPr>
        <w:t>o</w:t>
      </w:r>
      <w:r>
        <w:rPr>
          <w:rFonts w:asciiTheme="minorHAnsi" w:hAnsiTheme="minorHAnsi" w:cs="Arial"/>
          <w:b/>
          <w:color w:val="auto"/>
          <w:sz w:val="22"/>
          <w:szCs w:val="22"/>
        </w:rPr>
        <w:t xml:space="preserve"> </w:t>
      </w:r>
      <w:r>
        <w:rPr>
          <w:b/>
        </w:rPr>
        <w:t>=</w:t>
      </w:r>
      <w:r>
        <w:rPr>
          <w:rFonts w:asciiTheme="minorHAnsi" w:hAnsiTheme="minorHAnsi" w:cs="Arial"/>
          <w:b/>
          <w:color w:val="auto"/>
          <w:sz w:val="22"/>
          <w:szCs w:val="22"/>
        </w:rPr>
        <w:t xml:space="preserve"> obvyklý náklad na jednotku</w:t>
      </w:r>
    </w:p>
    <w:p w14:paraId="6BD23F86" w14:textId="77777777" w:rsidR="00475554" w:rsidRDefault="00157B87">
      <w:pPr>
        <w:pStyle w:val="Odstavecseseznamem"/>
        <w:spacing w:before="120" w:after="120"/>
        <w:ind w:left="425"/>
        <w:contextualSpacing w:val="0"/>
        <w:jc w:val="both"/>
        <w:rPr>
          <w:rFonts w:cs="Arial"/>
          <w:color w:val="000000" w:themeColor="text1"/>
        </w:rPr>
      </w:pPr>
      <w:r>
        <w:rPr>
          <w:rFonts w:cs="Arial"/>
          <w:color w:val="000000" w:themeColor="text1"/>
        </w:rPr>
        <w:t xml:space="preserve">Obvyklý náklad na stanovenou jednotku je koncipován jako </w:t>
      </w:r>
      <w:r>
        <w:rPr>
          <w:rFonts w:cs="Arial"/>
          <w:b/>
          <w:color w:val="000000" w:themeColor="text1"/>
        </w:rPr>
        <w:t xml:space="preserve">medián, tzn. „střední hodnota“ </w:t>
      </w:r>
      <w:r>
        <w:rPr>
          <w:rFonts w:cs="Arial"/>
          <w:color w:val="000000" w:themeColor="text1"/>
        </w:rPr>
        <w:t>z </w:t>
      </w:r>
      <w:r>
        <w:rPr>
          <w:rFonts w:cs="Arial"/>
          <w:b/>
        </w:rPr>
        <w:t>N</w:t>
      </w:r>
      <w:r>
        <w:rPr>
          <w:rFonts w:cs="Arial"/>
          <w:b/>
          <w:sz w:val="12"/>
          <w:szCs w:val="12"/>
        </w:rPr>
        <w:t>1</w:t>
      </w:r>
      <w:r>
        <w:rPr>
          <w:rFonts w:cs="Arial"/>
        </w:rPr>
        <w:t>, </w:t>
      </w:r>
      <w:r>
        <w:rPr>
          <w:rFonts w:cs="Arial"/>
          <w:b/>
        </w:rPr>
        <w:t>N</w:t>
      </w:r>
      <w:r>
        <w:rPr>
          <w:rFonts w:cs="Arial"/>
          <w:b/>
          <w:sz w:val="12"/>
          <w:szCs w:val="12"/>
        </w:rPr>
        <w:t>2</w:t>
      </w:r>
      <w:r>
        <w:t xml:space="preserve"> a </w:t>
      </w:r>
      <w:r>
        <w:rPr>
          <w:b/>
        </w:rPr>
        <w:t>M</w:t>
      </w:r>
      <w:r>
        <w:t>,</w:t>
      </w:r>
      <w:r>
        <w:rPr>
          <w:rFonts w:cs="Arial"/>
          <w:color w:val="000000" w:themeColor="text1"/>
        </w:rPr>
        <w:t xml:space="preserve"> která se matematicky zaokrouhlí na celé tisíce.</w:t>
      </w:r>
    </w:p>
    <w:p w14:paraId="7BDBEB5E" w14:textId="77777777" w:rsidR="00475554" w:rsidRDefault="00475554">
      <w:pPr>
        <w:spacing w:before="120" w:after="120"/>
        <w:jc w:val="both"/>
        <w:rPr>
          <w:rFonts w:cs="Arial"/>
          <w:color w:val="000000" w:themeColor="text1"/>
        </w:rPr>
      </w:pPr>
    </w:p>
    <w:tbl>
      <w:tblPr>
        <w:tblStyle w:val="Mkatabulky"/>
        <w:tblW w:w="0" w:type="auto"/>
        <w:tblInd w:w="-19" w:type="dxa"/>
        <w:tblLook w:val="04A0" w:firstRow="1" w:lastRow="0" w:firstColumn="1" w:lastColumn="0" w:noHBand="0" w:noVBand="1"/>
      </w:tblPr>
      <w:tblGrid>
        <w:gridCol w:w="5826"/>
      </w:tblGrid>
      <w:tr w:rsidR="00475554" w14:paraId="58A6B5B1" w14:textId="77777777">
        <w:tc>
          <w:tcPr>
            <w:tcW w:w="5826" w:type="dxa"/>
          </w:tcPr>
          <w:p w14:paraId="3EE1605F" w14:textId="77777777" w:rsidR="00475554" w:rsidRDefault="00157B87">
            <w:pPr>
              <w:pStyle w:val="Default"/>
              <w:spacing w:before="60" w:after="60" w:line="276" w:lineRule="auto"/>
              <w:jc w:val="both"/>
              <w:rPr>
                <w:rFonts w:asciiTheme="minorHAnsi" w:hAnsiTheme="minorHAnsi" w:cs="Arial"/>
                <w:b/>
                <w:i/>
                <w:color w:val="auto"/>
                <w:sz w:val="22"/>
                <w:szCs w:val="22"/>
              </w:rPr>
            </w:pPr>
            <w:r>
              <w:rPr>
                <w:rFonts w:asciiTheme="minorHAnsi" w:hAnsiTheme="minorHAnsi" w:cs="Arial"/>
                <w:b/>
                <w:i/>
                <w:color w:val="auto"/>
                <w:sz w:val="22"/>
                <w:szCs w:val="22"/>
              </w:rPr>
              <w:t xml:space="preserve">Příklad: </w:t>
            </w:r>
          </w:p>
          <w:p w14:paraId="673AF3A7" w14:textId="4D630983" w:rsidR="00475554" w:rsidRDefault="00157B87">
            <w:pPr>
              <w:pStyle w:val="Default"/>
              <w:spacing w:before="60" w:after="60" w:line="276" w:lineRule="auto"/>
              <w:ind w:firstLine="441"/>
              <w:jc w:val="both"/>
              <w:rPr>
                <w:rFonts w:asciiTheme="minorHAnsi" w:hAnsiTheme="minorHAnsi"/>
                <w:sz w:val="22"/>
                <w:szCs w:val="22"/>
              </w:rPr>
            </w:pPr>
            <w:r>
              <w:rPr>
                <w:rFonts w:asciiTheme="minorHAnsi" w:hAnsiTheme="minorHAnsi" w:cs="Arial"/>
                <w:b/>
                <w:color w:val="auto"/>
                <w:sz w:val="22"/>
                <w:szCs w:val="22"/>
              </w:rPr>
              <w:t>N</w:t>
            </w:r>
            <w:r>
              <w:rPr>
                <w:rFonts w:asciiTheme="minorHAnsi" w:hAnsiTheme="minorHAnsi" w:cs="Arial"/>
                <w:b/>
                <w:color w:val="auto"/>
                <w:sz w:val="22"/>
                <w:szCs w:val="22"/>
                <w:vertAlign w:val="subscript"/>
              </w:rPr>
              <w:t>1</w:t>
            </w:r>
            <w:r>
              <w:rPr>
                <w:sz w:val="22"/>
                <w:szCs w:val="22"/>
              </w:rPr>
              <w:t xml:space="preserve"> </w:t>
            </w:r>
            <w:r>
              <w:rPr>
                <w:rFonts w:asciiTheme="minorHAnsi" w:hAnsiTheme="minorHAnsi"/>
                <w:sz w:val="22"/>
                <w:szCs w:val="22"/>
              </w:rPr>
              <w:t xml:space="preserve">= </w:t>
            </w:r>
            <w:r w:rsidR="009767E3">
              <w:rPr>
                <w:rFonts w:asciiTheme="minorHAnsi" w:hAnsiTheme="minorHAnsi"/>
                <w:sz w:val="22"/>
                <w:szCs w:val="22"/>
              </w:rPr>
              <w:t>590 000</w:t>
            </w:r>
            <w:r>
              <w:rPr>
                <w:rFonts w:asciiTheme="minorHAnsi" w:hAnsiTheme="minorHAnsi"/>
                <w:sz w:val="22"/>
                <w:szCs w:val="22"/>
              </w:rPr>
              <w:t xml:space="preserve"> Kč</w:t>
            </w:r>
          </w:p>
          <w:p w14:paraId="783F8779" w14:textId="2BAD5537" w:rsidR="00475554" w:rsidRDefault="00157B87">
            <w:pPr>
              <w:pStyle w:val="Default"/>
              <w:spacing w:before="60" w:after="60" w:line="276" w:lineRule="auto"/>
              <w:ind w:firstLine="441"/>
              <w:jc w:val="both"/>
              <w:rPr>
                <w:rFonts w:asciiTheme="minorHAnsi" w:hAnsiTheme="minorHAnsi"/>
                <w:sz w:val="22"/>
                <w:szCs w:val="22"/>
              </w:rPr>
            </w:pPr>
            <w:r>
              <w:rPr>
                <w:rFonts w:asciiTheme="minorHAnsi" w:hAnsiTheme="minorHAnsi" w:cs="Arial"/>
                <w:b/>
                <w:color w:val="auto"/>
                <w:sz w:val="22"/>
                <w:szCs w:val="22"/>
              </w:rPr>
              <w:t>N</w:t>
            </w:r>
            <w:r>
              <w:rPr>
                <w:rFonts w:asciiTheme="minorHAnsi" w:hAnsiTheme="minorHAnsi" w:cs="Arial"/>
                <w:b/>
                <w:color w:val="auto"/>
                <w:sz w:val="22"/>
                <w:szCs w:val="22"/>
                <w:vertAlign w:val="subscript"/>
              </w:rPr>
              <w:t>2</w:t>
            </w:r>
            <w:r>
              <w:rPr>
                <w:sz w:val="22"/>
                <w:szCs w:val="22"/>
              </w:rPr>
              <w:t xml:space="preserve"> </w:t>
            </w:r>
            <w:r>
              <w:rPr>
                <w:rFonts w:asciiTheme="minorHAnsi" w:hAnsiTheme="minorHAnsi"/>
                <w:sz w:val="22"/>
                <w:szCs w:val="22"/>
              </w:rPr>
              <w:t xml:space="preserve">= </w:t>
            </w:r>
            <w:r w:rsidR="009767E3">
              <w:rPr>
                <w:rFonts w:asciiTheme="minorHAnsi" w:hAnsiTheme="minorHAnsi"/>
                <w:sz w:val="22"/>
                <w:szCs w:val="22"/>
              </w:rPr>
              <w:t>610 400</w:t>
            </w:r>
            <w:r>
              <w:rPr>
                <w:rFonts w:asciiTheme="minorHAnsi" w:hAnsiTheme="minorHAnsi"/>
                <w:sz w:val="22"/>
                <w:szCs w:val="22"/>
              </w:rPr>
              <w:t xml:space="preserve"> Kč</w:t>
            </w:r>
          </w:p>
          <w:p w14:paraId="383D140F" w14:textId="195975F0" w:rsidR="00475554" w:rsidRDefault="00157B87">
            <w:pPr>
              <w:pStyle w:val="Default"/>
              <w:spacing w:before="60" w:after="60" w:line="276" w:lineRule="auto"/>
              <w:ind w:firstLine="441"/>
              <w:jc w:val="both"/>
              <w:rPr>
                <w:rFonts w:asciiTheme="minorHAnsi" w:hAnsiTheme="minorHAnsi"/>
                <w:sz w:val="22"/>
                <w:szCs w:val="22"/>
              </w:rPr>
            </w:pPr>
            <w:r>
              <w:rPr>
                <w:rFonts w:asciiTheme="minorHAnsi" w:hAnsiTheme="minorHAnsi" w:cs="Arial"/>
                <w:b/>
                <w:color w:val="auto"/>
                <w:sz w:val="22"/>
                <w:szCs w:val="22"/>
              </w:rPr>
              <w:t xml:space="preserve">M </w:t>
            </w:r>
            <w:r>
              <w:rPr>
                <w:rFonts w:asciiTheme="minorHAnsi" w:hAnsiTheme="minorHAnsi"/>
                <w:sz w:val="22"/>
                <w:szCs w:val="22"/>
              </w:rPr>
              <w:t xml:space="preserve">= </w:t>
            </w:r>
            <w:r w:rsidR="009767E3">
              <w:rPr>
                <w:rFonts w:asciiTheme="minorHAnsi" w:hAnsiTheme="minorHAnsi"/>
                <w:sz w:val="22"/>
                <w:szCs w:val="22"/>
              </w:rPr>
              <w:t>615 000</w:t>
            </w:r>
            <w:r>
              <w:rPr>
                <w:rFonts w:asciiTheme="minorHAnsi" w:hAnsiTheme="minorHAnsi"/>
                <w:sz w:val="22"/>
                <w:szCs w:val="22"/>
              </w:rPr>
              <w:t xml:space="preserve"> Kč</w:t>
            </w:r>
          </w:p>
          <w:p w14:paraId="1A375AE5" w14:textId="07337E75" w:rsidR="00475554" w:rsidRDefault="00157B87" w:rsidP="009767E3">
            <w:pPr>
              <w:pStyle w:val="Default"/>
              <w:spacing w:before="60" w:after="60" w:line="276" w:lineRule="auto"/>
              <w:ind w:left="48"/>
              <w:jc w:val="both"/>
              <w:rPr>
                <w:rFonts w:asciiTheme="minorHAnsi" w:hAnsiTheme="minorHAnsi" w:cs="Arial"/>
                <w:b/>
                <w:i/>
                <w:color w:val="auto"/>
                <w:sz w:val="22"/>
                <w:szCs w:val="22"/>
              </w:rPr>
            </w:pPr>
            <w:r>
              <w:rPr>
                <w:rFonts w:asciiTheme="minorHAnsi" w:hAnsiTheme="minorHAnsi" w:cs="Arial"/>
                <w:b/>
                <w:color w:val="auto"/>
                <w:sz w:val="22"/>
                <w:szCs w:val="22"/>
              </w:rPr>
              <w:t>N</w:t>
            </w:r>
            <w:r>
              <w:rPr>
                <w:rFonts w:asciiTheme="minorHAnsi" w:hAnsiTheme="minorHAnsi" w:cs="Arial"/>
                <w:b/>
                <w:color w:val="auto"/>
                <w:sz w:val="12"/>
                <w:szCs w:val="12"/>
              </w:rPr>
              <w:t>o</w:t>
            </w:r>
            <w:r>
              <w:rPr>
                <w:rFonts w:asciiTheme="minorHAnsi" w:hAnsiTheme="minorHAnsi" w:cs="Arial"/>
                <w:b/>
                <w:color w:val="auto"/>
                <w:sz w:val="22"/>
                <w:szCs w:val="22"/>
              </w:rPr>
              <w:t xml:space="preserve"> </w:t>
            </w:r>
            <w:r>
              <w:rPr>
                <w:rFonts w:asciiTheme="minorHAnsi" w:hAnsiTheme="minorHAnsi"/>
                <w:b/>
                <w:sz w:val="22"/>
                <w:szCs w:val="22"/>
              </w:rPr>
              <w:t>=</w:t>
            </w:r>
            <w:r>
              <w:rPr>
                <w:rFonts w:asciiTheme="minorHAnsi" w:hAnsiTheme="minorHAnsi" w:cs="Arial"/>
                <w:b/>
                <w:color w:val="auto"/>
                <w:sz w:val="22"/>
                <w:szCs w:val="22"/>
              </w:rPr>
              <w:t xml:space="preserve"> obvyklý náklad na jednotku </w:t>
            </w:r>
            <w:r>
              <w:rPr>
                <w:rFonts w:asciiTheme="minorHAnsi" w:hAnsiTheme="minorHAnsi"/>
                <w:b/>
                <w:sz w:val="22"/>
                <w:szCs w:val="22"/>
              </w:rPr>
              <w:t>=</w:t>
            </w:r>
            <w:r>
              <w:rPr>
                <w:rFonts w:asciiTheme="minorHAnsi" w:hAnsiTheme="minorHAnsi" w:cs="Arial"/>
                <w:b/>
                <w:color w:val="auto"/>
                <w:sz w:val="22"/>
                <w:szCs w:val="22"/>
              </w:rPr>
              <w:t xml:space="preserve"> </w:t>
            </w:r>
            <w:r w:rsidR="009767E3">
              <w:rPr>
                <w:rFonts w:asciiTheme="minorHAnsi" w:hAnsiTheme="minorHAnsi" w:cs="Arial"/>
                <w:b/>
                <w:color w:val="auto"/>
                <w:sz w:val="22"/>
                <w:szCs w:val="22"/>
              </w:rPr>
              <w:t>610</w:t>
            </w:r>
            <w:r w:rsidR="009F7B28">
              <w:rPr>
                <w:rFonts w:asciiTheme="minorHAnsi" w:hAnsiTheme="minorHAnsi" w:cs="Arial"/>
                <w:b/>
                <w:color w:val="auto"/>
                <w:sz w:val="22"/>
                <w:szCs w:val="22"/>
              </w:rPr>
              <w:t> </w:t>
            </w:r>
            <w:r w:rsidR="009767E3">
              <w:rPr>
                <w:rFonts w:asciiTheme="minorHAnsi" w:hAnsiTheme="minorHAnsi" w:cs="Arial"/>
                <w:b/>
                <w:color w:val="auto"/>
                <w:sz w:val="22"/>
                <w:szCs w:val="22"/>
              </w:rPr>
              <w:t>400</w:t>
            </w:r>
            <w:r w:rsidR="009F7B28">
              <w:rPr>
                <w:rFonts w:asciiTheme="minorHAnsi" w:hAnsiTheme="minorHAnsi" w:cs="Arial"/>
                <w:b/>
                <w:color w:val="auto"/>
                <w:sz w:val="22"/>
                <w:szCs w:val="22"/>
              </w:rPr>
              <w:t xml:space="preserve"> </w:t>
            </w:r>
            <w:r>
              <w:rPr>
                <w:rFonts w:asciiTheme="minorHAnsi" w:hAnsiTheme="minorHAnsi" w:cs="Arial"/>
                <w:b/>
                <w:color w:val="auto"/>
                <w:sz w:val="22"/>
                <w:szCs w:val="22"/>
              </w:rPr>
              <w:t xml:space="preserve">Kč </w:t>
            </w:r>
            <w:r w:rsidR="00B86E0A">
              <w:rPr>
                <w:rFonts w:ascii="Cambria Math" w:hAnsi="Cambria Math" w:cs="Cambria Math"/>
                <w:color w:val="202122"/>
                <w:sz w:val="21"/>
                <w:szCs w:val="21"/>
                <w:shd w:val="clear" w:color="auto" w:fill="FFFFFF"/>
              </w:rPr>
              <w:t>≐</w:t>
            </w:r>
            <w:r>
              <w:rPr>
                <w:rFonts w:asciiTheme="minorHAnsi" w:hAnsiTheme="minorHAnsi" w:cs="Arial"/>
                <w:b/>
                <w:color w:val="auto"/>
                <w:sz w:val="22"/>
                <w:szCs w:val="22"/>
              </w:rPr>
              <w:t xml:space="preserve"> </w:t>
            </w:r>
            <w:r w:rsidR="009767E3">
              <w:rPr>
                <w:rFonts w:asciiTheme="minorHAnsi" w:hAnsiTheme="minorHAnsi" w:cs="Arial"/>
                <w:b/>
                <w:color w:val="auto"/>
                <w:sz w:val="22"/>
                <w:szCs w:val="22"/>
              </w:rPr>
              <w:t>610 000</w:t>
            </w:r>
            <w:r>
              <w:rPr>
                <w:rFonts w:asciiTheme="minorHAnsi" w:hAnsiTheme="minorHAnsi" w:cs="Arial"/>
                <w:b/>
                <w:color w:val="auto"/>
                <w:sz w:val="22"/>
                <w:szCs w:val="22"/>
              </w:rPr>
              <w:t xml:space="preserve"> Kč</w:t>
            </w:r>
          </w:p>
        </w:tc>
      </w:tr>
    </w:tbl>
    <w:p w14:paraId="0E95317A" w14:textId="77777777" w:rsidR="00475554" w:rsidRDefault="00475554">
      <w:pPr>
        <w:pStyle w:val="Textkomente"/>
        <w:spacing w:before="120" w:after="120" w:line="276" w:lineRule="auto"/>
        <w:jc w:val="both"/>
        <w:rPr>
          <w:rFonts w:eastAsia="MS Mincho"/>
          <w:sz w:val="22"/>
          <w:szCs w:val="22"/>
          <w:lang w:eastAsia="en-US"/>
        </w:rPr>
      </w:pPr>
    </w:p>
    <w:p w14:paraId="0C97D78F" w14:textId="77777777" w:rsidR="00475554" w:rsidRDefault="00157B87">
      <w:pPr>
        <w:pStyle w:val="Textkomente"/>
        <w:spacing w:before="120" w:after="120" w:line="276" w:lineRule="auto"/>
        <w:jc w:val="both"/>
        <w:rPr>
          <w:rFonts w:eastAsia="MS Mincho"/>
          <w:sz w:val="22"/>
          <w:szCs w:val="22"/>
          <w:lang w:eastAsia="en-US"/>
        </w:rPr>
      </w:pPr>
      <w:r>
        <w:rPr>
          <w:rFonts w:eastAsia="MS Mincho"/>
          <w:sz w:val="22"/>
          <w:szCs w:val="22"/>
          <w:lang w:eastAsia="en-US"/>
        </w:rPr>
        <w:t>Výsledkem analýzy skutečných nákladů sociálních služeb je zjištění obvyklých nákladů na jednotku daného druhu sociální služby.</w:t>
      </w:r>
    </w:p>
    <w:p w14:paraId="3835524E" w14:textId="77777777" w:rsidR="00475554" w:rsidRDefault="00475554">
      <w:pPr>
        <w:pStyle w:val="Textkomente"/>
        <w:spacing w:before="120" w:after="120" w:line="276" w:lineRule="auto"/>
        <w:jc w:val="both"/>
        <w:rPr>
          <w:rFonts w:eastAsia="MS Mincho"/>
          <w:sz w:val="22"/>
          <w:szCs w:val="22"/>
          <w:lang w:eastAsia="en-US"/>
        </w:rPr>
      </w:pPr>
    </w:p>
    <w:p w14:paraId="70A34D81" w14:textId="5E0EF7B5" w:rsidR="00475554" w:rsidRDefault="00157B87" w:rsidP="5E9F2BA3">
      <w:pPr>
        <w:pStyle w:val="Textkomente"/>
        <w:spacing w:before="120" w:after="120" w:line="276" w:lineRule="auto"/>
        <w:jc w:val="both"/>
        <w:rPr>
          <w:rFonts w:eastAsia="MS Mincho"/>
          <w:b/>
          <w:bCs/>
          <w:sz w:val="22"/>
          <w:szCs w:val="22"/>
          <w:lang w:eastAsia="en-US"/>
        </w:rPr>
      </w:pPr>
      <w:r w:rsidRPr="6409157D">
        <w:rPr>
          <w:rFonts w:eastAsia="MS Mincho"/>
          <w:b/>
          <w:bCs/>
          <w:sz w:val="22"/>
          <w:szCs w:val="22"/>
          <w:lang w:eastAsia="en-US"/>
        </w:rPr>
        <w:t>Obvyklé náklady na jednotku</w:t>
      </w:r>
      <w:r w:rsidR="006C3F83">
        <w:rPr>
          <w:rFonts w:eastAsia="MS Mincho"/>
          <w:b/>
          <w:bCs/>
          <w:sz w:val="22"/>
          <w:szCs w:val="22"/>
          <w:lang w:eastAsia="en-US"/>
        </w:rPr>
        <w:t xml:space="preserve"> </w:t>
      </w:r>
      <w:r w:rsidR="006C3F83" w:rsidRPr="002A1951">
        <w:rPr>
          <w:rFonts w:eastAsia="MS Mincho"/>
          <w:b/>
          <w:bCs/>
          <w:sz w:val="22"/>
          <w:szCs w:val="22"/>
          <w:highlight w:val="yellow"/>
          <w:lang w:eastAsia="en-US"/>
        </w:rPr>
        <w:t>u jednotlivých druhů sociálních služeb (Tabulka č. 3, Tabulka č. 6)</w:t>
      </w:r>
      <w:r w:rsidR="0019284D" w:rsidRPr="002A1951">
        <w:rPr>
          <w:rFonts w:eastAsia="MS Mincho"/>
          <w:b/>
          <w:bCs/>
          <w:sz w:val="22"/>
          <w:szCs w:val="22"/>
          <w:highlight w:val="yellow"/>
          <w:lang w:eastAsia="en-US"/>
        </w:rPr>
        <w:t xml:space="preserve"> </w:t>
      </w:r>
      <w:r w:rsidR="000A39CD" w:rsidRPr="002A1951">
        <w:rPr>
          <w:rFonts w:eastAsia="MS Mincho"/>
          <w:b/>
          <w:bCs/>
          <w:sz w:val="22"/>
          <w:szCs w:val="22"/>
          <w:highlight w:val="yellow"/>
          <w:lang w:eastAsia="en-US"/>
        </w:rPr>
        <w:t>jsou</w:t>
      </w:r>
      <w:r w:rsidRPr="6409157D">
        <w:rPr>
          <w:rFonts w:eastAsia="MS Mincho"/>
          <w:b/>
          <w:bCs/>
          <w:sz w:val="22"/>
          <w:szCs w:val="22"/>
          <w:lang w:eastAsia="en-US"/>
        </w:rPr>
        <w:t xml:space="preserve"> následně </w:t>
      </w:r>
      <w:r w:rsidR="00176FED" w:rsidRPr="6409157D">
        <w:rPr>
          <w:rFonts w:eastAsia="MS Mincho"/>
          <w:b/>
          <w:bCs/>
          <w:sz w:val="22"/>
          <w:szCs w:val="22"/>
          <w:lang w:eastAsia="en-US"/>
        </w:rPr>
        <w:t xml:space="preserve">v rámci provozních nákladů </w:t>
      </w:r>
      <w:r w:rsidRPr="6409157D">
        <w:rPr>
          <w:rFonts w:eastAsia="MS Mincho"/>
          <w:b/>
          <w:bCs/>
          <w:sz w:val="22"/>
          <w:szCs w:val="22"/>
          <w:lang w:eastAsia="en-US"/>
        </w:rPr>
        <w:t>přepočteny předpokládanou mírou inflace aktuálního roku a roku následujícího (zveřejněnou ČNB)</w:t>
      </w:r>
      <w:r w:rsidR="001377FC" w:rsidRPr="6409157D">
        <w:rPr>
          <w:rFonts w:eastAsia="MS Mincho"/>
          <w:b/>
          <w:bCs/>
          <w:sz w:val="22"/>
          <w:szCs w:val="22"/>
          <w:lang w:eastAsia="en-US"/>
        </w:rPr>
        <w:t>. V</w:t>
      </w:r>
      <w:r w:rsidR="009C4CD5" w:rsidRPr="6409157D">
        <w:rPr>
          <w:rFonts w:eastAsia="MS Mincho"/>
          <w:b/>
          <w:bCs/>
          <w:sz w:val="22"/>
          <w:szCs w:val="22"/>
          <w:lang w:eastAsia="en-US"/>
        </w:rPr>
        <w:t> rámci osobních nákladů</w:t>
      </w:r>
      <w:r w:rsidRPr="6409157D">
        <w:rPr>
          <w:rFonts w:eastAsia="MS Mincho"/>
          <w:b/>
          <w:bCs/>
          <w:sz w:val="22"/>
          <w:szCs w:val="22"/>
          <w:lang w:eastAsia="en-US"/>
        </w:rPr>
        <w:t xml:space="preserve"> </w:t>
      </w:r>
      <w:r w:rsidR="000A39CD">
        <w:rPr>
          <w:rFonts w:eastAsia="MS Mincho"/>
          <w:b/>
          <w:bCs/>
          <w:sz w:val="22"/>
          <w:szCs w:val="22"/>
          <w:lang w:eastAsia="en-US"/>
        </w:rPr>
        <w:t xml:space="preserve">jsou </w:t>
      </w:r>
      <w:r w:rsidR="006464A6" w:rsidRPr="6409157D">
        <w:rPr>
          <w:rFonts w:eastAsia="MS Mincho"/>
          <w:b/>
          <w:bCs/>
          <w:sz w:val="22"/>
          <w:szCs w:val="22"/>
          <w:lang w:eastAsia="en-US"/>
        </w:rPr>
        <w:t>upraveny na základě</w:t>
      </w:r>
      <w:r w:rsidR="00032047" w:rsidRPr="6409157D">
        <w:rPr>
          <w:rFonts w:eastAsia="MS Mincho"/>
          <w:b/>
          <w:bCs/>
          <w:sz w:val="22"/>
          <w:szCs w:val="22"/>
          <w:lang w:eastAsia="en-US"/>
        </w:rPr>
        <w:t> predikovan</w:t>
      </w:r>
      <w:r w:rsidR="006464A6" w:rsidRPr="6409157D">
        <w:rPr>
          <w:rFonts w:eastAsia="MS Mincho"/>
          <w:b/>
          <w:bCs/>
          <w:sz w:val="22"/>
          <w:szCs w:val="22"/>
          <w:lang w:eastAsia="en-US"/>
        </w:rPr>
        <w:t>ého</w:t>
      </w:r>
      <w:r w:rsidR="00032047" w:rsidRPr="6409157D">
        <w:rPr>
          <w:rFonts w:eastAsia="MS Mincho"/>
          <w:b/>
          <w:bCs/>
          <w:sz w:val="22"/>
          <w:szCs w:val="22"/>
          <w:lang w:eastAsia="en-US"/>
        </w:rPr>
        <w:t xml:space="preserve"> </w:t>
      </w:r>
      <w:r w:rsidR="15514815" w:rsidRPr="6409157D">
        <w:rPr>
          <w:rFonts w:eastAsia="MS Mincho"/>
          <w:b/>
          <w:bCs/>
          <w:sz w:val="22"/>
          <w:szCs w:val="22"/>
          <w:lang w:eastAsia="en-US"/>
        </w:rPr>
        <w:t>meziroční</w:t>
      </w:r>
      <w:r w:rsidR="006464A6" w:rsidRPr="6409157D">
        <w:rPr>
          <w:rFonts w:eastAsia="MS Mincho"/>
          <w:b/>
          <w:bCs/>
          <w:sz w:val="22"/>
          <w:szCs w:val="22"/>
          <w:lang w:eastAsia="en-US"/>
        </w:rPr>
        <w:t>ho</w:t>
      </w:r>
      <w:r w:rsidR="15514815" w:rsidRPr="6409157D">
        <w:rPr>
          <w:rFonts w:eastAsia="MS Mincho"/>
          <w:b/>
          <w:bCs/>
          <w:sz w:val="22"/>
          <w:szCs w:val="22"/>
          <w:lang w:eastAsia="en-US"/>
        </w:rPr>
        <w:t xml:space="preserve"> růst</w:t>
      </w:r>
      <w:r w:rsidR="006464A6" w:rsidRPr="6409157D">
        <w:rPr>
          <w:rFonts w:eastAsia="MS Mincho"/>
          <w:b/>
          <w:bCs/>
          <w:sz w:val="22"/>
          <w:szCs w:val="22"/>
          <w:lang w:eastAsia="en-US"/>
        </w:rPr>
        <w:t>u</w:t>
      </w:r>
      <w:r w:rsidR="15514815" w:rsidRPr="6409157D">
        <w:rPr>
          <w:rFonts w:eastAsia="MS Mincho"/>
          <w:b/>
          <w:bCs/>
          <w:sz w:val="22"/>
          <w:szCs w:val="22"/>
          <w:lang w:eastAsia="en-US"/>
        </w:rPr>
        <w:t xml:space="preserve"> mezd a platů</w:t>
      </w:r>
      <w:r w:rsidR="00A928A5" w:rsidRPr="6409157D">
        <w:rPr>
          <w:rFonts w:eastAsia="MS Mincho"/>
          <w:b/>
          <w:bCs/>
          <w:sz w:val="22"/>
          <w:szCs w:val="22"/>
          <w:lang w:eastAsia="en-US"/>
        </w:rPr>
        <w:t xml:space="preserve">. </w:t>
      </w:r>
      <w:r w:rsidR="5C8256CE" w:rsidRPr="6409157D">
        <w:rPr>
          <w:rFonts w:eastAsia="MS Mincho"/>
          <w:b/>
          <w:bCs/>
          <w:sz w:val="22"/>
          <w:szCs w:val="22"/>
          <w:lang w:eastAsia="en-US"/>
        </w:rPr>
        <w:t>P</w:t>
      </w:r>
      <w:r w:rsidR="3B6D7241" w:rsidRPr="6409157D">
        <w:rPr>
          <w:rFonts w:eastAsia="MS Mincho"/>
          <w:b/>
          <w:bCs/>
          <w:sz w:val="22"/>
          <w:szCs w:val="22"/>
          <w:lang w:eastAsia="en-US"/>
        </w:rPr>
        <w:t xml:space="preserve">odíl </w:t>
      </w:r>
      <w:r w:rsidR="001E30BF" w:rsidRPr="6409157D">
        <w:rPr>
          <w:rFonts w:eastAsia="MS Mincho"/>
          <w:b/>
          <w:bCs/>
          <w:sz w:val="22"/>
          <w:szCs w:val="22"/>
          <w:lang w:eastAsia="en-US"/>
        </w:rPr>
        <w:t>osobních</w:t>
      </w:r>
      <w:r w:rsidR="2109A042" w:rsidRPr="6409157D">
        <w:rPr>
          <w:rFonts w:eastAsia="MS Mincho"/>
          <w:b/>
          <w:bCs/>
          <w:sz w:val="22"/>
          <w:szCs w:val="22"/>
          <w:lang w:eastAsia="en-US"/>
        </w:rPr>
        <w:t xml:space="preserve"> a provozních nákladů </w:t>
      </w:r>
      <w:r w:rsidR="3B6D7241" w:rsidRPr="6409157D">
        <w:rPr>
          <w:rFonts w:eastAsia="MS Mincho"/>
          <w:b/>
          <w:bCs/>
          <w:sz w:val="22"/>
          <w:szCs w:val="22"/>
          <w:lang w:eastAsia="en-US"/>
        </w:rPr>
        <w:t xml:space="preserve">na celkových nákladech </w:t>
      </w:r>
      <w:r w:rsidR="000A39CD" w:rsidRPr="00C31C60">
        <w:rPr>
          <w:rFonts w:eastAsia="MS Mincho"/>
          <w:b/>
          <w:bCs/>
          <w:sz w:val="22"/>
          <w:szCs w:val="22"/>
          <w:highlight w:val="yellow"/>
          <w:lang w:eastAsia="en-US"/>
        </w:rPr>
        <w:t>u jednotlivých druhů sociálních služeb</w:t>
      </w:r>
      <w:r w:rsidR="000A39CD">
        <w:rPr>
          <w:rFonts w:eastAsia="MS Mincho"/>
          <w:b/>
          <w:bCs/>
          <w:sz w:val="22"/>
          <w:szCs w:val="22"/>
          <w:lang w:eastAsia="en-US"/>
        </w:rPr>
        <w:t xml:space="preserve"> </w:t>
      </w:r>
      <w:r w:rsidR="3B6D7241" w:rsidRPr="6409157D">
        <w:rPr>
          <w:rFonts w:eastAsia="MS Mincho"/>
          <w:b/>
          <w:bCs/>
          <w:sz w:val="22"/>
          <w:szCs w:val="22"/>
          <w:lang w:eastAsia="en-US"/>
        </w:rPr>
        <w:t>odráží sku</w:t>
      </w:r>
      <w:r w:rsidR="47D3C7DC" w:rsidRPr="6409157D">
        <w:rPr>
          <w:rFonts w:eastAsia="MS Mincho"/>
          <w:b/>
          <w:bCs/>
          <w:sz w:val="22"/>
          <w:szCs w:val="22"/>
          <w:lang w:eastAsia="en-US"/>
        </w:rPr>
        <w:t>tečnost z posledních známých dat</w:t>
      </w:r>
      <w:r w:rsidR="5E9BEA97" w:rsidRPr="6409157D">
        <w:rPr>
          <w:rFonts w:eastAsia="MS Mincho"/>
          <w:b/>
          <w:bCs/>
          <w:sz w:val="22"/>
          <w:szCs w:val="22"/>
          <w:lang w:eastAsia="en-US"/>
        </w:rPr>
        <w:t>, kter</w:t>
      </w:r>
      <w:r w:rsidR="00122FBA" w:rsidRPr="6409157D">
        <w:rPr>
          <w:rFonts w:eastAsia="MS Mincho"/>
          <w:b/>
          <w:bCs/>
          <w:sz w:val="22"/>
          <w:szCs w:val="22"/>
          <w:lang w:eastAsia="en-US"/>
        </w:rPr>
        <w:t>á</w:t>
      </w:r>
      <w:r w:rsidR="5E9BEA97" w:rsidRPr="6409157D">
        <w:rPr>
          <w:rFonts w:eastAsia="MS Mincho"/>
          <w:b/>
          <w:bCs/>
          <w:sz w:val="22"/>
          <w:szCs w:val="22"/>
          <w:lang w:eastAsia="en-US"/>
        </w:rPr>
        <w:t xml:space="preserve"> poskytovatelé sociálních služeb vyplňují ve webové aplikaci KISSoS. </w:t>
      </w:r>
      <w:r w:rsidR="000F2C0B" w:rsidRPr="6409157D">
        <w:rPr>
          <w:rFonts w:eastAsia="MS Mincho"/>
          <w:b/>
          <w:bCs/>
          <w:sz w:val="22"/>
          <w:szCs w:val="22"/>
          <w:lang w:eastAsia="en-US"/>
        </w:rPr>
        <w:t xml:space="preserve">Výsledná hodnota je matematicky zaokrouhlena na celé tisíce. </w:t>
      </w:r>
      <w:r w:rsidR="5E9BEA97" w:rsidRPr="6409157D">
        <w:rPr>
          <w:rFonts w:eastAsia="MS Mincho"/>
          <w:b/>
          <w:bCs/>
          <w:sz w:val="22"/>
          <w:szCs w:val="22"/>
          <w:lang w:eastAsia="en-US"/>
        </w:rPr>
        <w:t xml:space="preserve">Takto modelované obvyklé náklady </w:t>
      </w:r>
      <w:r w:rsidRPr="6409157D">
        <w:rPr>
          <w:rFonts w:eastAsia="MS Mincho"/>
          <w:b/>
          <w:bCs/>
          <w:sz w:val="22"/>
          <w:szCs w:val="22"/>
          <w:lang w:eastAsia="en-US"/>
        </w:rPr>
        <w:t xml:space="preserve">jsou výchozí hodnotou, na </w:t>
      </w:r>
      <w:r w:rsidR="1C50455B" w:rsidRPr="6409157D">
        <w:rPr>
          <w:rFonts w:eastAsia="MS Mincho"/>
          <w:b/>
          <w:bCs/>
          <w:sz w:val="22"/>
          <w:szCs w:val="22"/>
          <w:lang w:eastAsia="en-US"/>
        </w:rPr>
        <w:t xml:space="preserve">jejímž </w:t>
      </w:r>
      <w:r w:rsidRPr="6409157D">
        <w:rPr>
          <w:rFonts w:eastAsia="MS Mincho"/>
          <w:b/>
          <w:bCs/>
          <w:sz w:val="22"/>
          <w:szCs w:val="22"/>
          <w:lang w:eastAsia="en-US"/>
        </w:rPr>
        <w:t>základě je stanovena výše vyrovnávací platby pro daný rok.</w:t>
      </w:r>
      <w:r w:rsidR="00541D66" w:rsidRPr="6409157D">
        <w:rPr>
          <w:rFonts w:eastAsia="MS Mincho"/>
          <w:b/>
          <w:bCs/>
          <w:sz w:val="22"/>
          <w:szCs w:val="22"/>
          <w:lang w:eastAsia="en-US"/>
        </w:rPr>
        <w:t xml:space="preserve"> </w:t>
      </w:r>
    </w:p>
    <w:p w14:paraId="43E13F88" w14:textId="77777777" w:rsidR="00475554" w:rsidRDefault="00475554">
      <w:pPr>
        <w:pStyle w:val="Textkomente"/>
        <w:spacing w:before="120" w:after="120" w:line="276" w:lineRule="auto"/>
        <w:jc w:val="both"/>
        <w:rPr>
          <w:rFonts w:eastAsia="MS Mincho"/>
          <w:bCs/>
          <w:sz w:val="22"/>
          <w:szCs w:val="22"/>
          <w:lang w:eastAsia="en-US"/>
        </w:rPr>
      </w:pPr>
    </w:p>
    <w:tbl>
      <w:tblPr>
        <w:tblStyle w:val="Mkatabulky"/>
        <w:tblW w:w="0" w:type="auto"/>
        <w:tblInd w:w="-19" w:type="dxa"/>
        <w:tblLook w:val="04A0" w:firstRow="1" w:lastRow="0" w:firstColumn="1" w:lastColumn="0" w:noHBand="0" w:noVBand="1"/>
      </w:tblPr>
      <w:tblGrid>
        <w:gridCol w:w="9058"/>
      </w:tblGrid>
      <w:tr w:rsidR="00BB120B" w14:paraId="402DBC60" w14:textId="77777777" w:rsidTr="00C212E0">
        <w:trPr>
          <w:trHeight w:val="4237"/>
        </w:trPr>
        <w:tc>
          <w:tcPr>
            <w:tcW w:w="9058" w:type="dxa"/>
          </w:tcPr>
          <w:p w14:paraId="6F683E45" w14:textId="25E30027" w:rsidR="00BB120B" w:rsidRDefault="00BB120B" w:rsidP="00C212E0">
            <w:pPr>
              <w:spacing w:before="120" w:after="120" w:line="276" w:lineRule="auto"/>
              <w:jc w:val="both"/>
              <w:rPr>
                <w:b/>
                <w:i/>
              </w:rPr>
            </w:pPr>
            <w:r w:rsidRPr="00170CDC">
              <w:rPr>
                <w:b/>
                <w:i/>
                <w:highlight w:val="yellow"/>
              </w:rPr>
              <w:lastRenderedPageBreak/>
              <w:t>Příklad stanovení výchozích nákladů na jednotku „lůžko“ v</w:t>
            </w:r>
            <w:r>
              <w:rPr>
                <w:b/>
                <w:i/>
              </w:rPr>
              <w:t> </w:t>
            </w:r>
            <w:r w:rsidR="000A39CD" w:rsidRPr="00170CDC">
              <w:rPr>
                <w:b/>
                <w:i/>
                <w:highlight w:val="yellow"/>
              </w:rPr>
              <w:t xml:space="preserve">sociální službě </w:t>
            </w:r>
            <w:r w:rsidR="00860577" w:rsidRPr="00170CDC">
              <w:rPr>
                <w:b/>
                <w:i/>
                <w:highlight w:val="yellow"/>
              </w:rPr>
              <w:t>chráněné bydlení</w:t>
            </w:r>
            <w:r w:rsidRPr="00170CDC">
              <w:rPr>
                <w:b/>
                <w:i/>
                <w:highlight w:val="yellow"/>
              </w:rPr>
              <w:t xml:space="preserve"> pro rok </w:t>
            </w:r>
            <w:r w:rsidR="00C65DD4" w:rsidRPr="00170CDC">
              <w:rPr>
                <w:b/>
                <w:i/>
                <w:highlight w:val="yellow"/>
              </w:rPr>
              <w:t>2027</w:t>
            </w:r>
            <w:r>
              <w:rPr>
                <w:b/>
                <w:i/>
              </w:rPr>
              <w:t>:</w:t>
            </w:r>
          </w:p>
          <w:p w14:paraId="0D29E31E" w14:textId="074D36BB" w:rsidR="00BB120B" w:rsidRDefault="00BB120B" w:rsidP="00C212E0">
            <w:pPr>
              <w:spacing w:before="120" w:after="120" w:line="276" w:lineRule="auto"/>
              <w:jc w:val="both"/>
            </w:pPr>
            <w:r>
              <w:t xml:space="preserve">Obvyklý náklad zjištěný </w:t>
            </w:r>
            <w:r w:rsidRPr="00DB2FA4">
              <w:t>v roce R</w:t>
            </w:r>
            <w:r w:rsidRPr="00DB2FA4">
              <w:rPr>
                <w:vertAlign w:val="subscript"/>
              </w:rPr>
              <w:t>v</w:t>
            </w:r>
            <w:r>
              <w:rPr>
                <w:vertAlign w:val="subscript"/>
              </w:rPr>
              <w:t>+1</w:t>
            </w:r>
            <w:r w:rsidRPr="00DB2FA4">
              <w:t>, tj.</w:t>
            </w:r>
            <w:r>
              <w:t xml:space="preserve"> </w:t>
            </w:r>
            <w:r>
              <w:rPr>
                <w:rFonts w:cs="Arial"/>
                <w:b/>
              </w:rPr>
              <w:t>N</w:t>
            </w:r>
            <w:r>
              <w:rPr>
                <w:rFonts w:cs="Arial"/>
                <w:b/>
                <w:sz w:val="12"/>
                <w:szCs w:val="12"/>
              </w:rPr>
              <w:t>o</w:t>
            </w:r>
            <w:r>
              <w:t xml:space="preserve"> za rok </w:t>
            </w:r>
            <w:r>
              <w:rPr>
                <w:sz w:val="20"/>
                <w:szCs w:val="20"/>
              </w:rPr>
              <w:t>R</w:t>
            </w:r>
            <w:r>
              <w:rPr>
                <w:sz w:val="20"/>
                <w:szCs w:val="20"/>
                <w:vertAlign w:val="subscript"/>
              </w:rPr>
              <w:t xml:space="preserve">v-1 </w:t>
            </w:r>
            <w:r>
              <w:t xml:space="preserve">na lůžko </w:t>
            </w:r>
            <w:r w:rsidR="00E31E98">
              <w:t>v sociální službě chráněné bydlení</w:t>
            </w:r>
            <w:r>
              <w:t xml:space="preserve"> </w:t>
            </w:r>
            <w:r w:rsidRPr="00BB120B">
              <w:t>=</w:t>
            </w:r>
            <w:r w:rsidRPr="00BB120B">
              <w:rPr>
                <w:b/>
              </w:rPr>
              <w:t xml:space="preserve"> </w:t>
            </w:r>
            <w:r w:rsidRPr="00BB120B">
              <w:rPr>
                <w:b/>
                <w:bCs/>
              </w:rPr>
              <w:t>  </w:t>
            </w:r>
            <w:r w:rsidR="00E31E98">
              <w:rPr>
                <w:b/>
                <w:bCs/>
              </w:rPr>
              <w:t>677</w:t>
            </w:r>
            <w:r w:rsidR="002314A4" w:rsidRPr="00BB120B">
              <w:rPr>
                <w:b/>
                <w:bCs/>
              </w:rPr>
              <w:t xml:space="preserve"> </w:t>
            </w:r>
            <w:r w:rsidRPr="00BB120B">
              <w:rPr>
                <w:b/>
                <w:bCs/>
              </w:rPr>
              <w:t xml:space="preserve">000 </w:t>
            </w:r>
            <w:r w:rsidRPr="00BB120B">
              <w:rPr>
                <w:b/>
              </w:rPr>
              <w:t>Kč</w:t>
            </w:r>
            <w:r w:rsidRPr="00BB120B">
              <w:t>.</w:t>
            </w:r>
          </w:p>
          <w:p w14:paraId="1AFAA7BA" w14:textId="585F649E" w:rsidR="00BB120B" w:rsidRDefault="00BB120B" w:rsidP="00C212E0">
            <w:pPr>
              <w:pStyle w:val="Odstavecseseznamem"/>
              <w:spacing w:before="120" w:after="120" w:line="276" w:lineRule="auto"/>
              <w:ind w:left="0"/>
              <w:contextualSpacing w:val="0"/>
              <w:jc w:val="both"/>
              <w:rPr>
                <w:b/>
              </w:rPr>
            </w:pPr>
            <w:r>
              <w:t xml:space="preserve">Předpokládaná míra inflace v roce </w:t>
            </w:r>
            <w:r w:rsidRPr="009627A9">
              <w:t>R</w:t>
            </w:r>
            <w:r w:rsidRPr="00B2484C">
              <w:rPr>
                <w:vertAlign w:val="subscript"/>
              </w:rPr>
              <w:t>v</w:t>
            </w:r>
            <w:r>
              <w:t xml:space="preserve"> = </w:t>
            </w:r>
            <w:r>
              <w:rPr>
                <w:b/>
              </w:rPr>
              <w:t>2,</w:t>
            </w:r>
            <w:r w:rsidR="004235D2">
              <w:rPr>
                <w:b/>
              </w:rPr>
              <w:t xml:space="preserve">20 </w:t>
            </w:r>
            <w:r>
              <w:rPr>
                <w:b/>
              </w:rPr>
              <w:t>%</w:t>
            </w:r>
          </w:p>
          <w:p w14:paraId="1D015C65" w14:textId="676B3D7B" w:rsidR="00BB120B" w:rsidRDefault="00BB120B" w:rsidP="00C212E0">
            <w:pPr>
              <w:pStyle w:val="Odstavecseseznamem"/>
              <w:spacing w:before="120" w:after="120" w:line="276" w:lineRule="auto"/>
              <w:ind w:left="0"/>
              <w:contextualSpacing w:val="0"/>
              <w:jc w:val="both"/>
            </w:pPr>
            <w:r>
              <w:rPr>
                <w:bCs/>
              </w:rPr>
              <w:t>Podíl osobních a provozních nákladů</w:t>
            </w:r>
            <w:r>
              <w:t xml:space="preserve"> v roce </w:t>
            </w:r>
            <w:r w:rsidRPr="009627A9">
              <w:t>R</w:t>
            </w:r>
            <w:r w:rsidRPr="00B2484C">
              <w:rPr>
                <w:vertAlign w:val="subscript"/>
              </w:rPr>
              <w:t>v</w:t>
            </w:r>
            <w:r w:rsidRPr="00AB6DFC">
              <w:t>:</w:t>
            </w:r>
            <w:r>
              <w:rPr>
                <w:bCs/>
              </w:rPr>
              <w:t xml:space="preserve"> </w:t>
            </w:r>
            <w:r w:rsidRPr="0056124C">
              <w:rPr>
                <w:bCs/>
              </w:rPr>
              <w:t>m</w:t>
            </w:r>
            <w:r w:rsidRPr="0056124C">
              <w:rPr>
                <w:bCs/>
                <w:vertAlign w:val="subscript"/>
              </w:rPr>
              <w:t xml:space="preserve">v </w:t>
            </w:r>
            <w:r w:rsidRPr="002231F4">
              <w:rPr>
                <w:bCs/>
              </w:rPr>
              <w:t>=</w:t>
            </w:r>
            <w:r w:rsidRPr="0056124C">
              <w:rPr>
                <w:bCs/>
              </w:rPr>
              <w:t xml:space="preserve"> </w:t>
            </w:r>
            <w:r>
              <w:rPr>
                <w:bCs/>
              </w:rPr>
              <w:t>76</w:t>
            </w:r>
            <w:r w:rsidR="00C65DD4">
              <w:rPr>
                <w:bCs/>
              </w:rPr>
              <w:t>,5</w:t>
            </w:r>
            <w:r>
              <w:rPr>
                <w:bCs/>
              </w:rPr>
              <w:t xml:space="preserve"> </w:t>
            </w:r>
            <w:r w:rsidRPr="0056124C">
              <w:rPr>
                <w:bCs/>
              </w:rPr>
              <w:t>%; p</w:t>
            </w:r>
            <w:r w:rsidRPr="0056124C">
              <w:rPr>
                <w:bCs/>
                <w:vertAlign w:val="subscript"/>
              </w:rPr>
              <w:t>v</w:t>
            </w:r>
            <w:r w:rsidRPr="0056124C">
              <w:rPr>
                <w:bCs/>
              </w:rPr>
              <w:t xml:space="preserve"> </w:t>
            </w:r>
            <w:r>
              <w:rPr>
                <w:bCs/>
              </w:rPr>
              <w:t>=</w:t>
            </w:r>
            <w:r w:rsidR="00C65DD4">
              <w:rPr>
                <w:bCs/>
              </w:rPr>
              <w:t xml:space="preserve"> 23,5 </w:t>
            </w:r>
            <w:r w:rsidRPr="0056124C">
              <w:rPr>
                <w:bCs/>
              </w:rPr>
              <w:t>%</w:t>
            </w:r>
          </w:p>
          <w:p w14:paraId="58424FA7" w14:textId="165E342D" w:rsidR="00BB120B" w:rsidRDefault="00BB120B" w:rsidP="00C212E0">
            <w:pPr>
              <w:pStyle w:val="Odstavecseseznamem"/>
              <w:spacing w:before="120" w:after="120" w:line="276" w:lineRule="auto"/>
              <w:ind w:left="0"/>
              <w:contextualSpacing w:val="0"/>
              <w:jc w:val="both"/>
            </w:pPr>
            <w:r>
              <w:t xml:space="preserve">Předpokládaná míra inflace v roce </w:t>
            </w:r>
            <w:r w:rsidRPr="009627A9">
              <w:t>R</w:t>
            </w:r>
            <w:r w:rsidRPr="00B2484C">
              <w:rPr>
                <w:vertAlign w:val="subscript"/>
              </w:rPr>
              <w:t>v+1</w:t>
            </w:r>
            <w:r>
              <w:t xml:space="preserve"> = </w:t>
            </w:r>
            <w:r w:rsidR="002314A4">
              <w:rPr>
                <w:b/>
              </w:rPr>
              <w:t>3</w:t>
            </w:r>
            <w:r>
              <w:rPr>
                <w:b/>
              </w:rPr>
              <w:t>,0 %</w:t>
            </w:r>
          </w:p>
          <w:p w14:paraId="02F6A605" w14:textId="04D4AE7D" w:rsidR="00BB120B" w:rsidRDefault="00BB120B" w:rsidP="00C212E0">
            <w:pPr>
              <w:pStyle w:val="Odstavecseseznamem"/>
              <w:spacing w:before="120" w:after="120" w:line="276" w:lineRule="auto"/>
              <w:ind w:left="0"/>
              <w:contextualSpacing w:val="0"/>
              <w:jc w:val="both"/>
            </w:pPr>
            <w:r>
              <w:rPr>
                <w:bCs/>
              </w:rPr>
              <w:t>Podíl osobních a provozních nákladů</w:t>
            </w:r>
            <w:r>
              <w:t xml:space="preserve"> v roce </w:t>
            </w:r>
            <w:r w:rsidRPr="009627A9">
              <w:t>R</w:t>
            </w:r>
            <w:r w:rsidRPr="00B2484C">
              <w:rPr>
                <w:vertAlign w:val="subscript"/>
              </w:rPr>
              <w:t>v</w:t>
            </w:r>
            <w:r>
              <w:rPr>
                <w:vertAlign w:val="subscript"/>
              </w:rPr>
              <w:t>+1</w:t>
            </w:r>
            <w:r w:rsidRPr="00AB6DFC">
              <w:t>:</w:t>
            </w:r>
            <w:r>
              <w:rPr>
                <w:bCs/>
              </w:rPr>
              <w:t xml:space="preserve"> </w:t>
            </w:r>
            <w:r w:rsidRPr="0056124C">
              <w:rPr>
                <w:bCs/>
              </w:rPr>
              <w:t>m</w:t>
            </w:r>
            <w:r w:rsidRPr="0056124C">
              <w:rPr>
                <w:bCs/>
                <w:vertAlign w:val="subscript"/>
              </w:rPr>
              <w:t>v</w:t>
            </w:r>
            <w:r>
              <w:rPr>
                <w:bCs/>
                <w:vertAlign w:val="subscript"/>
              </w:rPr>
              <w:t>+1</w:t>
            </w:r>
            <w:r w:rsidRPr="0056124C">
              <w:rPr>
                <w:bCs/>
                <w:vertAlign w:val="subscript"/>
              </w:rPr>
              <w:t xml:space="preserve"> </w:t>
            </w:r>
            <w:r w:rsidRPr="002231F4">
              <w:rPr>
                <w:bCs/>
              </w:rPr>
              <w:t>=</w:t>
            </w:r>
            <w:r w:rsidRPr="0056124C">
              <w:rPr>
                <w:bCs/>
              </w:rPr>
              <w:t xml:space="preserve"> </w:t>
            </w:r>
            <w:r>
              <w:rPr>
                <w:bCs/>
              </w:rPr>
              <w:t>76</w:t>
            </w:r>
            <w:r w:rsidR="00C65DD4">
              <w:rPr>
                <w:bCs/>
              </w:rPr>
              <w:t>,5</w:t>
            </w:r>
            <w:r w:rsidR="00FD3FFC">
              <w:rPr>
                <w:bCs/>
              </w:rPr>
              <w:t xml:space="preserve"> </w:t>
            </w:r>
            <w:r w:rsidRPr="0056124C">
              <w:rPr>
                <w:bCs/>
              </w:rPr>
              <w:t>%; p</w:t>
            </w:r>
            <w:r w:rsidRPr="0056124C">
              <w:rPr>
                <w:bCs/>
                <w:vertAlign w:val="subscript"/>
              </w:rPr>
              <w:t>v</w:t>
            </w:r>
            <w:r>
              <w:rPr>
                <w:bCs/>
                <w:vertAlign w:val="subscript"/>
              </w:rPr>
              <w:t>+1</w:t>
            </w:r>
            <w:r w:rsidRPr="0056124C">
              <w:rPr>
                <w:bCs/>
              </w:rPr>
              <w:t xml:space="preserve"> </w:t>
            </w:r>
            <w:r>
              <w:rPr>
                <w:bCs/>
              </w:rPr>
              <w:t>=</w:t>
            </w:r>
            <w:r w:rsidRPr="0056124C">
              <w:rPr>
                <w:bCs/>
              </w:rPr>
              <w:t xml:space="preserve"> </w:t>
            </w:r>
            <w:r w:rsidR="00C65DD4">
              <w:rPr>
                <w:bCs/>
              </w:rPr>
              <w:t>23,5</w:t>
            </w:r>
            <w:r w:rsidR="00C65DD4" w:rsidRPr="0056124C">
              <w:rPr>
                <w:bCs/>
              </w:rPr>
              <w:t xml:space="preserve"> </w:t>
            </w:r>
            <w:r w:rsidRPr="0056124C">
              <w:rPr>
                <w:bCs/>
              </w:rPr>
              <w:t>%</w:t>
            </w:r>
          </w:p>
          <w:p w14:paraId="4B4BB3F4" w14:textId="6A5B1C92" w:rsidR="00BB120B" w:rsidRPr="00A450DF" w:rsidRDefault="00BB120B" w:rsidP="00C212E0">
            <w:pPr>
              <w:pStyle w:val="Odstavecseseznamem"/>
              <w:spacing w:before="120" w:after="120" w:line="276" w:lineRule="auto"/>
              <w:ind w:left="0"/>
              <w:contextualSpacing w:val="0"/>
              <w:jc w:val="both"/>
            </w:pPr>
            <w:r>
              <w:t>Předpokládaný meziroční růst mezd v roce R</w:t>
            </w:r>
            <w:r>
              <w:rPr>
                <w:vertAlign w:val="subscript"/>
              </w:rPr>
              <w:t xml:space="preserve">v </w:t>
            </w:r>
            <w:r w:rsidR="00E31E98">
              <w:t xml:space="preserve">= 6 % </w:t>
            </w:r>
            <w:r>
              <w:t>a v R</w:t>
            </w:r>
            <w:r>
              <w:rPr>
                <w:vertAlign w:val="subscript"/>
              </w:rPr>
              <w:t>v+1</w:t>
            </w:r>
            <w:r>
              <w:t xml:space="preserve"> = 4 %</w:t>
            </w:r>
          </w:p>
          <w:p w14:paraId="324382F1" w14:textId="49E77439" w:rsidR="00BB120B" w:rsidRDefault="00BB120B" w:rsidP="00C212E0">
            <w:pPr>
              <w:spacing w:before="120" w:after="120" w:line="276" w:lineRule="auto"/>
              <w:jc w:val="both"/>
              <w:rPr>
                <w:b/>
              </w:rPr>
            </w:pPr>
            <w:r>
              <w:rPr>
                <w:b/>
              </w:rPr>
              <w:t>Výchozí hodnota nákladů na lůžko v </w:t>
            </w:r>
            <w:r w:rsidR="000A39CD">
              <w:rPr>
                <w:b/>
              </w:rPr>
              <w:t xml:space="preserve">sociální službě </w:t>
            </w:r>
            <w:r w:rsidR="00860577">
              <w:rPr>
                <w:b/>
              </w:rPr>
              <w:t>chráněné bydlení</w:t>
            </w:r>
            <w:r>
              <w:rPr>
                <w:b/>
              </w:rPr>
              <w:t xml:space="preserve"> </w:t>
            </w:r>
            <w:r>
              <w:rPr>
                <w:rFonts w:cs="Arial"/>
                <w:b/>
              </w:rPr>
              <w:t>– N</w:t>
            </w:r>
            <w:r>
              <w:rPr>
                <w:rFonts w:cs="Arial"/>
                <w:b/>
                <w:vertAlign w:val="subscript"/>
              </w:rPr>
              <w:t xml:space="preserve">V </w:t>
            </w:r>
          </w:p>
          <w:p w14:paraId="63032639" w14:textId="6B8DA87B" w:rsidR="00BB120B" w:rsidRDefault="00B67ACF" w:rsidP="00C212E0">
            <w:pPr>
              <w:spacing w:before="120" w:after="120" w:line="276" w:lineRule="auto"/>
              <w:jc w:val="both"/>
              <w:rPr>
                <w:b/>
                <w:sz w:val="20"/>
                <w:szCs w:val="20"/>
              </w:rPr>
            </w:pPr>
            <m:oMathPara>
              <m:oMathParaPr>
                <m:jc m:val="left"/>
              </m:oMathParaPr>
              <m:oMath>
                <m:sSub>
                  <m:sSubPr>
                    <m:ctrlPr>
                      <w:rPr>
                        <w:rFonts w:ascii="Cambria Math" w:hAnsi="Cambria Math" w:cs="Arial"/>
                        <w:b/>
                        <w:sz w:val="20"/>
                        <w:szCs w:val="20"/>
                      </w:rPr>
                    </m:ctrlPr>
                  </m:sSubPr>
                  <m:e>
                    <m:r>
                      <m:rPr>
                        <m:sty m:val="bi"/>
                      </m:rPr>
                      <w:rPr>
                        <w:rFonts w:ascii="Cambria Math" w:hAnsi="Cambria Math" w:cs="Arial"/>
                        <w:sz w:val="20"/>
                        <w:szCs w:val="20"/>
                      </w:rPr>
                      <m:t>N</m:t>
                    </m:r>
                  </m:e>
                  <m:sub>
                    <m:r>
                      <m:rPr>
                        <m:sty m:val="bi"/>
                      </m:rPr>
                      <w:rPr>
                        <w:rFonts w:ascii="Cambria Math" w:hAnsi="Cambria Math" w:cs="Arial"/>
                        <w:sz w:val="20"/>
                        <w:szCs w:val="20"/>
                      </w:rPr>
                      <m:t>V</m:t>
                    </m:r>
                    <m:r>
                      <m:rPr>
                        <m:sty m:val="bi"/>
                      </m:rPr>
                      <w:rPr>
                        <w:rFonts w:ascii="Cambria Math" w:hAnsi="Cambria Math" w:cs="Arial"/>
                        <w:sz w:val="20"/>
                        <w:szCs w:val="20"/>
                      </w:rPr>
                      <m:t xml:space="preserve"> </m:t>
                    </m:r>
                  </m:sub>
                </m:sSub>
                <m:r>
                  <m:rPr>
                    <m:sty m:val="bi"/>
                  </m:rPr>
                  <w:rPr>
                    <w:rFonts w:ascii="Cambria Math" w:hAnsi="Cambria Math" w:cs="Arial"/>
                    <w:sz w:val="20"/>
                    <w:szCs w:val="20"/>
                  </w:rPr>
                  <m:t>=</m:t>
                </m:r>
                <m:d>
                  <m:dPr>
                    <m:ctrlPr>
                      <w:rPr>
                        <w:rFonts w:ascii="Cambria Math" w:hAnsi="Cambria Math" w:cs="Arial"/>
                        <w:b/>
                        <w:i/>
                        <w:sz w:val="20"/>
                        <w:szCs w:val="20"/>
                      </w:rPr>
                    </m:ctrlPr>
                  </m:dPr>
                  <m:e>
                    <m:r>
                      <m:rPr>
                        <m:sty m:val="bi"/>
                      </m:rPr>
                      <w:rPr>
                        <w:rFonts w:ascii="Cambria Math" w:hAnsi="Cambria Math" w:cs="Arial"/>
                        <w:sz w:val="20"/>
                        <w:szCs w:val="20"/>
                      </w:rPr>
                      <m:t xml:space="preserve"> </m:t>
                    </m:r>
                    <m:r>
                      <m:rPr>
                        <m:sty m:val="bi"/>
                      </m:rPr>
                      <w:rPr>
                        <w:rFonts w:ascii="Cambria Math" w:hAnsi="Cambria Math" w:cs="Arial"/>
                        <w:sz w:val="20"/>
                        <w:szCs w:val="20"/>
                      </w:rPr>
                      <m:t>677</m:t>
                    </m:r>
                    <m:r>
                      <m:rPr>
                        <m:sty m:val="bi"/>
                      </m:rPr>
                      <w:rPr>
                        <w:rFonts w:ascii="Cambria Math" w:hAnsi="Cambria Math" w:cs="Arial"/>
                        <w:sz w:val="20"/>
                        <w:szCs w:val="20"/>
                      </w:rPr>
                      <m:t xml:space="preserve"> </m:t>
                    </m:r>
                    <m:r>
                      <m:rPr>
                        <m:sty m:val="bi"/>
                      </m:rPr>
                      <w:rPr>
                        <w:rFonts w:ascii="Cambria Math" w:hAnsi="Cambria Math" w:cs="Arial"/>
                        <w:sz w:val="20"/>
                        <w:szCs w:val="20"/>
                      </w:rPr>
                      <m:t>000</m:t>
                    </m:r>
                    <m:r>
                      <m:rPr>
                        <m:sty m:val="bi"/>
                      </m:rPr>
                      <w:rPr>
                        <w:rFonts w:ascii="Cambria Math" w:hAnsi="Cambria Math" w:cs="Arial"/>
                        <w:sz w:val="20"/>
                        <w:szCs w:val="20"/>
                      </w:rPr>
                      <m:t xml:space="preserve"> </m:t>
                    </m:r>
                    <m:r>
                      <m:rPr>
                        <m:sty m:val="bi"/>
                      </m:rPr>
                      <w:rPr>
                        <w:rFonts w:ascii="Cambria Math" w:hAnsi="Cambria Math" w:cs="Arial"/>
                        <w:sz w:val="20"/>
                        <w:szCs w:val="20"/>
                      </w:rPr>
                      <m:t>x</m:t>
                    </m:r>
                    <m:r>
                      <m:rPr>
                        <m:sty m:val="bi"/>
                      </m:rPr>
                      <w:rPr>
                        <w:rFonts w:ascii="Cambria Math" w:hAnsi="Cambria Math" w:cs="Arial"/>
                        <w:sz w:val="20"/>
                        <w:szCs w:val="20"/>
                      </w:rPr>
                      <m:t xml:space="preserve"> </m:t>
                    </m:r>
                    <m:r>
                      <m:rPr>
                        <m:sty m:val="bi"/>
                      </m:rPr>
                      <w:rPr>
                        <w:rFonts w:ascii="Cambria Math" w:hAnsi="Cambria Math" w:cs="Arial"/>
                        <w:sz w:val="20"/>
                        <w:szCs w:val="20"/>
                      </w:rPr>
                      <m:t>0</m:t>
                    </m:r>
                    <m:r>
                      <m:rPr>
                        <m:sty m:val="bi"/>
                      </m:rPr>
                      <w:rPr>
                        <w:rFonts w:ascii="Cambria Math" w:hAnsi="Cambria Math" w:cs="Arial"/>
                        <w:sz w:val="20"/>
                        <w:szCs w:val="20"/>
                      </w:rPr>
                      <m:t>,</m:t>
                    </m:r>
                    <m:r>
                      <m:rPr>
                        <m:sty m:val="bi"/>
                      </m:rPr>
                      <w:rPr>
                        <w:rFonts w:ascii="Cambria Math" w:hAnsi="Cambria Math" w:cs="Arial"/>
                        <w:sz w:val="20"/>
                        <w:szCs w:val="20"/>
                      </w:rPr>
                      <m:t>765</m:t>
                    </m:r>
                    <m:r>
                      <m:rPr>
                        <m:sty m:val="bi"/>
                      </m:rPr>
                      <w:rPr>
                        <w:rFonts w:ascii="Cambria Math" w:hAnsi="Cambria Math" w:cs="Arial"/>
                        <w:sz w:val="20"/>
                        <w:szCs w:val="20"/>
                      </w:rPr>
                      <m:t xml:space="preserve"> </m:t>
                    </m:r>
                    <m:r>
                      <m:rPr>
                        <m:sty m:val="bi"/>
                      </m:rPr>
                      <w:rPr>
                        <w:rFonts w:ascii="Cambria Math" w:hAnsi="Cambria Math" w:cs="Arial"/>
                        <w:sz w:val="20"/>
                        <w:szCs w:val="20"/>
                      </w:rPr>
                      <m:t>x</m:t>
                    </m:r>
                    <m:r>
                      <m:rPr>
                        <m:sty m:val="bi"/>
                      </m:rPr>
                      <w:rPr>
                        <w:rFonts w:ascii="Cambria Math" w:hAnsi="Cambria Math" w:cs="Arial"/>
                        <w:sz w:val="20"/>
                        <w:szCs w:val="20"/>
                      </w:rPr>
                      <m:t xml:space="preserve"> </m:t>
                    </m:r>
                    <m:r>
                      <m:rPr>
                        <m:sty m:val="bi"/>
                      </m:rPr>
                      <w:rPr>
                        <w:rFonts w:ascii="Cambria Math" w:hAnsi="Cambria Math" w:cs="Arial"/>
                        <w:sz w:val="20"/>
                        <w:szCs w:val="20"/>
                      </w:rPr>
                      <m:t>1</m:t>
                    </m:r>
                    <m:r>
                      <m:rPr>
                        <m:sty m:val="bi"/>
                      </m:rPr>
                      <w:rPr>
                        <w:rFonts w:ascii="Cambria Math" w:hAnsi="Cambria Math" w:cs="Arial"/>
                        <w:sz w:val="20"/>
                        <w:szCs w:val="20"/>
                      </w:rPr>
                      <m:t>,</m:t>
                    </m:r>
                    <m:r>
                      <m:rPr>
                        <m:sty m:val="bi"/>
                      </m:rPr>
                      <w:rPr>
                        <w:rFonts w:ascii="Cambria Math" w:hAnsi="Cambria Math" w:cs="Arial"/>
                        <w:sz w:val="20"/>
                        <w:szCs w:val="20"/>
                      </w:rPr>
                      <m:t>06</m:t>
                    </m:r>
                    <m:r>
                      <m:rPr>
                        <m:sty m:val="bi"/>
                      </m:rPr>
                      <w:rPr>
                        <w:rFonts w:ascii="Cambria Math" w:hAnsi="Cambria Math" w:cs="Arial"/>
                        <w:sz w:val="20"/>
                        <w:szCs w:val="20"/>
                      </w:rPr>
                      <m:t>)+(</m:t>
                    </m:r>
                    <m:r>
                      <m:rPr>
                        <m:sty m:val="bi"/>
                      </m:rPr>
                      <w:rPr>
                        <w:rFonts w:ascii="Cambria Math" w:hAnsi="Cambria Math" w:cs="Arial"/>
                        <w:sz w:val="20"/>
                        <w:szCs w:val="20"/>
                      </w:rPr>
                      <m:t>677</m:t>
                    </m:r>
                    <m:r>
                      <m:rPr>
                        <m:sty m:val="bi"/>
                      </m:rPr>
                      <w:rPr>
                        <w:rFonts w:ascii="Cambria Math" w:hAnsi="Cambria Math" w:cs="Arial"/>
                        <w:sz w:val="20"/>
                        <w:szCs w:val="20"/>
                      </w:rPr>
                      <m:t xml:space="preserve"> </m:t>
                    </m:r>
                    <m:r>
                      <m:rPr>
                        <m:sty m:val="bi"/>
                      </m:rPr>
                      <w:rPr>
                        <w:rFonts w:ascii="Cambria Math" w:hAnsi="Cambria Math" w:cs="Arial"/>
                        <w:sz w:val="20"/>
                        <w:szCs w:val="20"/>
                      </w:rPr>
                      <m:t>000</m:t>
                    </m:r>
                    <m:r>
                      <m:rPr>
                        <m:sty m:val="bi"/>
                      </m:rPr>
                      <w:rPr>
                        <w:rFonts w:ascii="Cambria Math" w:hAnsi="Cambria Math" w:cs="Arial"/>
                        <w:sz w:val="20"/>
                        <w:szCs w:val="20"/>
                      </w:rPr>
                      <m:t xml:space="preserve"> </m:t>
                    </m:r>
                    <m:r>
                      <m:rPr>
                        <m:sty m:val="bi"/>
                      </m:rPr>
                      <w:rPr>
                        <w:rFonts w:ascii="Cambria Math" w:hAnsi="Cambria Math" w:cs="Arial"/>
                        <w:sz w:val="20"/>
                        <w:szCs w:val="20"/>
                      </w:rPr>
                      <m:t>x</m:t>
                    </m:r>
                    <m:r>
                      <m:rPr>
                        <m:sty m:val="bi"/>
                      </m:rPr>
                      <w:rPr>
                        <w:rFonts w:ascii="Cambria Math" w:hAnsi="Cambria Math" w:cs="Arial"/>
                        <w:sz w:val="20"/>
                        <w:szCs w:val="20"/>
                      </w:rPr>
                      <m:t xml:space="preserve"> </m:t>
                    </m:r>
                    <m:r>
                      <m:rPr>
                        <m:sty m:val="bi"/>
                      </m:rPr>
                      <w:rPr>
                        <w:rFonts w:ascii="Cambria Math" w:hAnsi="Cambria Math" w:cs="Arial"/>
                        <w:sz w:val="20"/>
                        <w:szCs w:val="20"/>
                      </w:rPr>
                      <m:t>0</m:t>
                    </m:r>
                    <m:r>
                      <m:rPr>
                        <m:sty m:val="bi"/>
                      </m:rPr>
                      <w:rPr>
                        <w:rFonts w:ascii="Cambria Math" w:hAnsi="Cambria Math" w:cs="Arial"/>
                        <w:sz w:val="20"/>
                        <w:szCs w:val="20"/>
                      </w:rPr>
                      <m:t>,</m:t>
                    </m:r>
                    <m:r>
                      <m:rPr>
                        <m:sty m:val="bi"/>
                      </m:rPr>
                      <w:rPr>
                        <w:rFonts w:ascii="Cambria Math" w:hAnsi="Cambria Math" w:cs="Arial"/>
                        <w:sz w:val="20"/>
                        <w:szCs w:val="20"/>
                      </w:rPr>
                      <m:t>235</m:t>
                    </m:r>
                    <m:r>
                      <m:rPr>
                        <m:sty m:val="bi"/>
                      </m:rPr>
                      <w:rPr>
                        <w:rFonts w:ascii="Cambria Math" w:hAnsi="Cambria Math" w:cs="Arial" w:hint="eastAsia"/>
                        <w:sz w:val="20"/>
                        <w:szCs w:val="20"/>
                      </w:rPr>
                      <m:t>×</m:t>
                    </m:r>
                    <m:r>
                      <m:rPr>
                        <m:sty m:val="bi"/>
                      </m:rPr>
                      <w:rPr>
                        <w:rFonts w:ascii="Cambria Math" w:hAnsi="Cambria Math" w:cs="Arial"/>
                        <w:sz w:val="20"/>
                        <w:szCs w:val="20"/>
                      </w:rPr>
                      <m:t>1</m:t>
                    </m:r>
                    <m:r>
                      <m:rPr>
                        <m:sty m:val="bi"/>
                      </m:rPr>
                      <w:rPr>
                        <w:rFonts w:ascii="Cambria Math" w:hAnsi="Cambria Math" w:cs="Arial"/>
                        <w:sz w:val="20"/>
                        <w:szCs w:val="20"/>
                      </w:rPr>
                      <m:t>,</m:t>
                    </m:r>
                    <m:r>
                      <m:rPr>
                        <m:sty m:val="bi"/>
                      </m:rPr>
                      <w:rPr>
                        <w:rFonts w:ascii="Cambria Math" w:hAnsi="Cambria Math" w:cs="Arial"/>
                        <w:sz w:val="20"/>
                        <w:szCs w:val="20"/>
                      </w:rPr>
                      <m:t>022</m:t>
                    </m:r>
                  </m:e>
                </m:d>
              </m:oMath>
            </m:oMathPara>
          </w:p>
          <w:p w14:paraId="0ADE4E46" w14:textId="3986A850" w:rsidR="00BB120B" w:rsidRDefault="00B67ACF" w:rsidP="00C212E0">
            <w:pPr>
              <w:spacing w:before="120" w:after="120" w:line="276" w:lineRule="auto"/>
              <w:jc w:val="both"/>
              <w:rPr>
                <w:b/>
                <w:sz w:val="20"/>
                <w:szCs w:val="20"/>
              </w:rPr>
            </w:pPr>
            <m:oMathPara>
              <m:oMathParaPr>
                <m:jc m:val="left"/>
              </m:oMathParaPr>
              <m:oMath>
                <m:sSub>
                  <m:sSubPr>
                    <m:ctrlPr>
                      <w:rPr>
                        <w:rFonts w:ascii="Cambria Math" w:hAnsi="Cambria Math" w:cs="Arial"/>
                        <w:b/>
                        <w:sz w:val="20"/>
                        <w:szCs w:val="20"/>
                      </w:rPr>
                    </m:ctrlPr>
                  </m:sSubPr>
                  <m:e>
                    <m:r>
                      <m:rPr>
                        <m:sty m:val="bi"/>
                      </m:rPr>
                      <w:rPr>
                        <w:rFonts w:ascii="Cambria Math" w:hAnsi="Cambria Math" w:cs="Arial"/>
                        <w:sz w:val="20"/>
                        <w:szCs w:val="20"/>
                      </w:rPr>
                      <m:t>N</m:t>
                    </m:r>
                  </m:e>
                  <m:sub>
                    <m:r>
                      <m:rPr>
                        <m:sty m:val="bi"/>
                      </m:rPr>
                      <w:rPr>
                        <w:rFonts w:ascii="Cambria Math" w:hAnsi="Cambria Math" w:cs="Arial"/>
                        <w:sz w:val="20"/>
                        <w:szCs w:val="20"/>
                      </w:rPr>
                      <m:t>V</m:t>
                    </m:r>
                  </m:sub>
                </m:sSub>
                <m:r>
                  <m:rPr>
                    <m:sty m:val="bi"/>
                  </m:rPr>
                  <w:rPr>
                    <w:rFonts w:ascii="Cambria Math" w:hAnsi="Cambria Math" w:cs="Arial"/>
                    <w:sz w:val="20"/>
                    <w:szCs w:val="20"/>
                  </w:rPr>
                  <m:t xml:space="preserve">= </m:t>
                </m:r>
                <m:r>
                  <m:rPr>
                    <m:sty m:val="bi"/>
                  </m:rPr>
                  <w:rPr>
                    <w:rFonts w:ascii="Cambria Math" w:hAnsi="Cambria Math" w:cs="Arial"/>
                    <w:sz w:val="20"/>
                    <w:szCs w:val="20"/>
                  </w:rPr>
                  <m:t>711</m:t>
                </m:r>
                <m:r>
                  <m:rPr>
                    <m:sty m:val="bi"/>
                  </m:rPr>
                  <w:rPr>
                    <w:rFonts w:ascii="Cambria Math" w:hAnsi="Cambria Math" w:cs="Arial"/>
                    <w:sz w:val="20"/>
                    <w:szCs w:val="20"/>
                  </w:rPr>
                  <m:t xml:space="preserve"> </m:t>
                </m:r>
                <m:r>
                  <m:rPr>
                    <m:sty m:val="bi"/>
                  </m:rPr>
                  <w:rPr>
                    <w:rFonts w:ascii="Cambria Math" w:hAnsi="Cambria Math" w:cs="Arial"/>
                    <w:sz w:val="20"/>
                    <w:szCs w:val="20"/>
                  </w:rPr>
                  <m:t>574</m:t>
                </m:r>
                <m:r>
                  <m:rPr>
                    <m:sty m:val="bi"/>
                  </m:rPr>
                  <w:rPr>
                    <w:rFonts w:ascii="Cambria Math" w:hAnsi="Cambria Math" w:cs="Arial"/>
                    <w:sz w:val="20"/>
                    <w:szCs w:val="20"/>
                  </w:rPr>
                  <m:t>,</m:t>
                </m:r>
                <m:r>
                  <m:rPr>
                    <m:sty m:val="bi"/>
                  </m:rPr>
                  <w:rPr>
                    <w:rFonts w:ascii="Cambria Math" w:hAnsi="Cambria Math" w:cs="Arial"/>
                    <w:sz w:val="20"/>
                    <w:szCs w:val="20"/>
                  </w:rPr>
                  <m:t>39</m:t>
                </m:r>
                <m:r>
                  <m:rPr>
                    <m:sty m:val="bi"/>
                  </m:rPr>
                  <w:rPr>
                    <w:rFonts w:ascii="Cambria Math" w:hAnsi="Cambria Math" w:cs="Arial"/>
                    <w:sz w:val="20"/>
                    <w:szCs w:val="20"/>
                  </w:rPr>
                  <m:t xml:space="preserve"> </m:t>
                </m:r>
                <m:r>
                  <m:rPr>
                    <m:sty m:val="bi"/>
                  </m:rPr>
                  <w:rPr>
                    <w:rFonts w:ascii="Cambria Math" w:hAnsi="Cambria Math" w:cs="Arial"/>
                    <w:sz w:val="20"/>
                    <w:szCs w:val="20"/>
                  </w:rPr>
                  <m:t>K</m:t>
                </m:r>
                <m:r>
                  <m:rPr>
                    <m:sty m:val="bi"/>
                  </m:rPr>
                  <w:rPr>
                    <w:rFonts w:ascii="Cambria Math" w:hAnsi="Cambria Math" w:cs="Arial"/>
                    <w:sz w:val="20"/>
                    <w:szCs w:val="20"/>
                  </w:rPr>
                  <m:t>č</m:t>
                </m:r>
              </m:oMath>
            </m:oMathPara>
          </w:p>
          <w:p w14:paraId="0D6D86AF" w14:textId="3138B558" w:rsidR="00BB120B" w:rsidRDefault="00B67ACF" w:rsidP="00C212E0">
            <w:pPr>
              <w:spacing w:before="120" w:after="120" w:line="276" w:lineRule="auto"/>
              <w:jc w:val="both"/>
              <w:rPr>
                <w:b/>
                <w:sz w:val="20"/>
                <w:szCs w:val="20"/>
              </w:rPr>
            </w:pPr>
            <m:oMathPara>
              <m:oMathParaPr>
                <m:jc m:val="left"/>
              </m:oMathParaPr>
              <m:oMath>
                <m:sSub>
                  <m:sSubPr>
                    <m:ctrlPr>
                      <w:rPr>
                        <w:rFonts w:ascii="Cambria Math" w:hAnsi="Cambria Math" w:cs="Arial"/>
                        <w:b/>
                        <w:sz w:val="20"/>
                        <w:szCs w:val="20"/>
                      </w:rPr>
                    </m:ctrlPr>
                  </m:sSubPr>
                  <m:e>
                    <m:r>
                      <m:rPr>
                        <m:sty m:val="bi"/>
                      </m:rPr>
                      <w:rPr>
                        <w:rFonts w:ascii="Cambria Math" w:hAnsi="Cambria Math" w:cs="Arial"/>
                        <w:sz w:val="20"/>
                        <w:szCs w:val="20"/>
                      </w:rPr>
                      <m:t>N</m:t>
                    </m:r>
                  </m:e>
                  <m:sub>
                    <m:r>
                      <m:rPr>
                        <m:sty m:val="bi"/>
                      </m:rPr>
                      <w:rPr>
                        <w:rFonts w:ascii="Cambria Math" w:hAnsi="Cambria Math" w:cs="Arial"/>
                        <w:sz w:val="20"/>
                        <w:szCs w:val="20"/>
                      </w:rPr>
                      <m:t>V</m:t>
                    </m:r>
                    <m:r>
                      <m:rPr>
                        <m:sty m:val="bi"/>
                      </m:rPr>
                      <w:rPr>
                        <w:rFonts w:ascii="Cambria Math" w:hAnsi="Cambria Math" w:cs="Arial"/>
                        <w:sz w:val="20"/>
                        <w:szCs w:val="20"/>
                      </w:rPr>
                      <m:t>+</m:t>
                    </m:r>
                    <m:r>
                      <m:rPr>
                        <m:sty m:val="bi"/>
                      </m:rPr>
                      <w:rPr>
                        <w:rFonts w:ascii="Cambria Math" w:hAnsi="Cambria Math" w:cs="Arial"/>
                        <w:sz w:val="20"/>
                        <w:szCs w:val="20"/>
                      </w:rPr>
                      <m:t>1</m:t>
                    </m:r>
                  </m:sub>
                </m:sSub>
                <m:r>
                  <m:rPr>
                    <m:sty m:val="bi"/>
                  </m:rPr>
                  <w:rPr>
                    <w:rFonts w:ascii="Cambria Math" w:hAnsi="Cambria Math" w:cs="Arial"/>
                    <w:sz w:val="20"/>
                    <w:szCs w:val="20"/>
                  </w:rPr>
                  <m:t>=</m:t>
                </m:r>
                <m:d>
                  <m:dPr>
                    <m:ctrlPr>
                      <w:rPr>
                        <w:rFonts w:ascii="Cambria Math" w:hAnsi="Cambria Math" w:cs="Arial"/>
                        <w:b/>
                        <w:i/>
                        <w:sz w:val="20"/>
                        <w:szCs w:val="20"/>
                      </w:rPr>
                    </m:ctrlPr>
                  </m:dPr>
                  <m:e>
                    <m:r>
                      <m:rPr>
                        <m:sty m:val="b"/>
                      </m:rPr>
                      <w:rPr>
                        <w:rFonts w:ascii="Cambria Math" w:hAnsi="Cambria Math" w:cs="Arial"/>
                        <w:sz w:val="20"/>
                        <w:szCs w:val="20"/>
                      </w:rPr>
                      <m:t>711</m:t>
                    </m:r>
                    <m:r>
                      <m:rPr>
                        <m:sty m:val="b"/>
                      </m:rPr>
                      <w:rPr>
                        <w:rFonts w:ascii="Cambria Math" w:hAnsi="Cambria Math" w:cs="Arial"/>
                        <w:sz w:val="20"/>
                        <w:szCs w:val="20"/>
                      </w:rPr>
                      <m:t xml:space="preserve"> </m:t>
                    </m:r>
                    <m:r>
                      <m:rPr>
                        <m:sty m:val="b"/>
                      </m:rPr>
                      <w:rPr>
                        <w:rFonts w:ascii="Cambria Math" w:hAnsi="Cambria Math" w:cs="Arial"/>
                        <w:sz w:val="20"/>
                        <w:szCs w:val="20"/>
                      </w:rPr>
                      <m:t>574</m:t>
                    </m:r>
                    <m:r>
                      <m:rPr>
                        <m:sty m:val="b"/>
                      </m:rPr>
                      <w:rPr>
                        <w:rFonts w:ascii="Cambria Math" w:hAnsi="Cambria Math" w:cs="Arial"/>
                        <w:sz w:val="20"/>
                        <w:szCs w:val="20"/>
                      </w:rPr>
                      <m:t>,</m:t>
                    </m:r>
                    <m:r>
                      <m:rPr>
                        <m:sty m:val="b"/>
                      </m:rPr>
                      <w:rPr>
                        <w:rFonts w:ascii="Cambria Math" w:hAnsi="Cambria Math" w:cs="Arial"/>
                        <w:sz w:val="20"/>
                        <w:szCs w:val="20"/>
                      </w:rPr>
                      <m:t>39</m:t>
                    </m:r>
                    <m:r>
                      <m:rPr>
                        <m:sty m:val="b"/>
                      </m:rPr>
                      <w:rPr>
                        <w:rFonts w:ascii="Cambria Math" w:hAnsi="Cambria Math" w:cs="Arial"/>
                        <w:sz w:val="20"/>
                        <w:szCs w:val="20"/>
                      </w:rPr>
                      <m:t xml:space="preserve"> </m:t>
                    </m:r>
                    <m:r>
                      <m:rPr>
                        <m:sty m:val="b"/>
                      </m:rPr>
                      <w:rPr>
                        <w:rFonts w:ascii="Cambria Math" w:hAnsi="Cambria Math" w:cs="Arial"/>
                        <w:sz w:val="20"/>
                        <w:szCs w:val="20"/>
                      </w:rPr>
                      <m:t>x</m:t>
                    </m:r>
                    <m:r>
                      <m:rPr>
                        <m:sty m:val="b"/>
                      </m:rPr>
                      <w:rPr>
                        <w:rFonts w:ascii="Cambria Math" w:hAnsi="Cambria Math" w:cs="Arial"/>
                        <w:sz w:val="20"/>
                        <w:szCs w:val="20"/>
                      </w:rPr>
                      <m:t xml:space="preserve"> </m:t>
                    </m:r>
                    <m:r>
                      <m:rPr>
                        <m:sty m:val="b"/>
                      </m:rPr>
                      <w:rPr>
                        <w:rFonts w:ascii="Cambria Math" w:hAnsi="Cambria Math" w:cs="Arial"/>
                        <w:sz w:val="20"/>
                        <w:szCs w:val="20"/>
                      </w:rPr>
                      <m:t>0</m:t>
                    </m:r>
                    <m:r>
                      <m:rPr>
                        <m:sty m:val="b"/>
                      </m:rPr>
                      <w:rPr>
                        <w:rFonts w:ascii="Cambria Math" w:hAnsi="Cambria Math" w:cs="Arial"/>
                        <w:sz w:val="20"/>
                        <w:szCs w:val="20"/>
                      </w:rPr>
                      <m:t>,</m:t>
                    </m:r>
                    <m:r>
                      <m:rPr>
                        <m:sty m:val="b"/>
                      </m:rPr>
                      <w:rPr>
                        <w:rFonts w:ascii="Cambria Math" w:hAnsi="Cambria Math" w:cs="Arial"/>
                        <w:sz w:val="20"/>
                        <w:szCs w:val="20"/>
                      </w:rPr>
                      <m:t>765</m:t>
                    </m:r>
                    <m:r>
                      <m:rPr>
                        <m:sty m:val="b"/>
                      </m:rPr>
                      <w:rPr>
                        <w:rFonts w:ascii="Cambria Math" w:hAnsi="Cambria Math" w:cs="Arial"/>
                        <w:sz w:val="20"/>
                        <w:szCs w:val="20"/>
                      </w:rPr>
                      <m:t xml:space="preserve"> </m:t>
                    </m:r>
                    <m:r>
                      <m:rPr>
                        <m:sty m:val="b"/>
                      </m:rPr>
                      <w:rPr>
                        <w:rFonts w:ascii="Cambria Math" w:hAnsi="Cambria Math" w:cs="Arial"/>
                        <w:sz w:val="20"/>
                        <w:szCs w:val="20"/>
                      </w:rPr>
                      <m:t>x</m:t>
                    </m:r>
                    <m:r>
                      <m:rPr>
                        <m:sty m:val="b"/>
                      </m:rPr>
                      <w:rPr>
                        <w:rFonts w:ascii="Cambria Math" w:hAnsi="Cambria Math" w:cs="Arial"/>
                        <w:sz w:val="20"/>
                        <w:szCs w:val="20"/>
                      </w:rPr>
                      <m:t xml:space="preserve"> </m:t>
                    </m:r>
                    <m:r>
                      <m:rPr>
                        <m:sty m:val="b"/>
                      </m:rPr>
                      <w:rPr>
                        <w:rFonts w:ascii="Cambria Math" w:hAnsi="Cambria Math" w:cs="Arial"/>
                        <w:sz w:val="20"/>
                        <w:szCs w:val="20"/>
                      </w:rPr>
                      <m:t>1</m:t>
                    </m:r>
                    <m:r>
                      <m:rPr>
                        <m:sty m:val="b"/>
                      </m:rPr>
                      <w:rPr>
                        <w:rFonts w:ascii="Cambria Math" w:hAnsi="Cambria Math" w:cs="Arial"/>
                        <w:sz w:val="20"/>
                        <w:szCs w:val="20"/>
                      </w:rPr>
                      <m:t>,</m:t>
                    </m:r>
                    <m:r>
                      <m:rPr>
                        <m:sty m:val="b"/>
                      </m:rPr>
                      <w:rPr>
                        <w:rFonts w:ascii="Cambria Math" w:hAnsi="Cambria Math" w:cs="Arial"/>
                        <w:sz w:val="20"/>
                        <w:szCs w:val="20"/>
                      </w:rPr>
                      <m:t>04</m:t>
                    </m:r>
                    <m:ctrlPr>
                      <w:rPr>
                        <w:rFonts w:ascii="Cambria Math" w:hAnsi="Cambria Math" w:cs="Arial"/>
                        <w:b/>
                        <w:sz w:val="20"/>
                        <w:szCs w:val="20"/>
                      </w:rPr>
                    </m:ctrlPr>
                  </m:e>
                </m:d>
                <m:r>
                  <m:rPr>
                    <m:sty m:val="bi"/>
                  </m:rPr>
                  <w:rPr>
                    <w:rFonts w:ascii="Cambria Math" w:hAnsi="Cambria Math" w:cs="Arial"/>
                    <w:sz w:val="20"/>
                    <w:szCs w:val="20"/>
                  </w:rPr>
                  <m:t>+(</m:t>
                </m:r>
                <m:r>
                  <m:rPr>
                    <m:sty m:val="bi"/>
                  </m:rPr>
                  <w:rPr>
                    <w:rFonts w:ascii="Cambria Math" w:hAnsi="Cambria Math" w:cs="Arial"/>
                    <w:sz w:val="20"/>
                    <w:szCs w:val="20"/>
                  </w:rPr>
                  <m:t>711</m:t>
                </m:r>
                <m:r>
                  <m:rPr>
                    <m:sty m:val="bi"/>
                  </m:rPr>
                  <w:rPr>
                    <w:rFonts w:ascii="Cambria Math" w:hAnsi="Cambria Math" w:cs="Arial"/>
                    <w:sz w:val="20"/>
                    <w:szCs w:val="20"/>
                  </w:rPr>
                  <m:t xml:space="preserve"> </m:t>
                </m:r>
                <m:r>
                  <m:rPr>
                    <m:sty m:val="bi"/>
                  </m:rPr>
                  <w:rPr>
                    <w:rFonts w:ascii="Cambria Math" w:hAnsi="Cambria Math" w:cs="Arial"/>
                    <w:sz w:val="20"/>
                    <w:szCs w:val="20"/>
                  </w:rPr>
                  <m:t>574</m:t>
                </m:r>
                <m:r>
                  <m:rPr>
                    <m:sty m:val="bi"/>
                  </m:rPr>
                  <w:rPr>
                    <w:rFonts w:ascii="Cambria Math" w:hAnsi="Cambria Math" w:cs="Arial"/>
                    <w:sz w:val="20"/>
                    <w:szCs w:val="20"/>
                  </w:rPr>
                  <m:t>,</m:t>
                </m:r>
                <m:r>
                  <m:rPr>
                    <m:sty m:val="bi"/>
                  </m:rPr>
                  <w:rPr>
                    <w:rFonts w:ascii="Cambria Math" w:hAnsi="Cambria Math" w:cs="Arial"/>
                    <w:sz w:val="20"/>
                    <w:szCs w:val="20"/>
                  </w:rPr>
                  <m:t>39</m:t>
                </m:r>
                <m:r>
                  <m:rPr>
                    <m:sty m:val="bi"/>
                  </m:rPr>
                  <w:rPr>
                    <w:rFonts w:ascii="Cambria Math" w:hAnsi="Cambria Math" w:cs="Arial"/>
                    <w:sz w:val="20"/>
                    <w:szCs w:val="20"/>
                  </w:rPr>
                  <m:t>x</m:t>
                </m:r>
                <m:r>
                  <m:rPr>
                    <m:sty m:val="bi"/>
                  </m:rPr>
                  <w:rPr>
                    <w:rFonts w:ascii="Cambria Math" w:hAnsi="Cambria Math" w:cs="Arial"/>
                    <w:sz w:val="20"/>
                    <w:szCs w:val="20"/>
                  </w:rPr>
                  <m:t xml:space="preserve"> </m:t>
                </m:r>
                <m:r>
                  <m:rPr>
                    <m:sty m:val="bi"/>
                  </m:rPr>
                  <w:rPr>
                    <w:rFonts w:ascii="Cambria Math" w:hAnsi="Cambria Math" w:cs="Arial"/>
                    <w:sz w:val="20"/>
                    <w:szCs w:val="20"/>
                  </w:rPr>
                  <m:t>0</m:t>
                </m:r>
                <m:r>
                  <m:rPr>
                    <m:sty m:val="bi"/>
                  </m:rPr>
                  <w:rPr>
                    <w:rFonts w:ascii="Cambria Math" w:hAnsi="Cambria Math" w:cs="Arial"/>
                    <w:sz w:val="20"/>
                    <w:szCs w:val="20"/>
                  </w:rPr>
                  <m:t>,</m:t>
                </m:r>
                <m:r>
                  <m:rPr>
                    <m:sty m:val="bi"/>
                  </m:rPr>
                  <w:rPr>
                    <w:rFonts w:ascii="Cambria Math" w:hAnsi="Cambria Math" w:cs="Arial"/>
                    <w:sz w:val="20"/>
                    <w:szCs w:val="20"/>
                  </w:rPr>
                  <m:t>235</m:t>
                </m:r>
                <m:r>
                  <m:rPr>
                    <m:sty m:val="bi"/>
                  </m:rPr>
                  <w:rPr>
                    <w:rFonts w:ascii="Cambria Math" w:hAnsi="Cambria Math" w:cs="Arial"/>
                    <w:sz w:val="20"/>
                    <w:szCs w:val="20"/>
                  </w:rPr>
                  <m:t xml:space="preserve"> </m:t>
                </m:r>
                <m:r>
                  <m:rPr>
                    <m:sty m:val="bi"/>
                  </m:rPr>
                  <w:rPr>
                    <w:rFonts w:ascii="Cambria Math" w:hAnsi="Cambria Math" w:cs="Arial"/>
                    <w:sz w:val="20"/>
                    <w:szCs w:val="20"/>
                  </w:rPr>
                  <m:t>x</m:t>
                </m:r>
                <m:r>
                  <m:rPr>
                    <m:sty m:val="bi"/>
                  </m:rPr>
                  <w:rPr>
                    <w:rFonts w:ascii="Cambria Math" w:hAnsi="Cambria Math" w:cs="Arial"/>
                    <w:sz w:val="20"/>
                    <w:szCs w:val="20"/>
                  </w:rPr>
                  <m:t xml:space="preserve"> </m:t>
                </m:r>
                <m:r>
                  <m:rPr>
                    <m:sty m:val="bi"/>
                  </m:rPr>
                  <w:rPr>
                    <w:rFonts w:ascii="Cambria Math" w:hAnsi="Cambria Math" w:cs="Arial"/>
                    <w:sz w:val="20"/>
                    <w:szCs w:val="20"/>
                  </w:rPr>
                  <m:t>1</m:t>
                </m:r>
                <m:r>
                  <m:rPr>
                    <m:sty m:val="bi"/>
                  </m:rPr>
                  <w:rPr>
                    <w:rFonts w:ascii="Cambria Math" w:hAnsi="Cambria Math" w:cs="Arial"/>
                    <w:sz w:val="20"/>
                    <w:szCs w:val="20"/>
                  </w:rPr>
                  <m:t>,</m:t>
                </m:r>
                <m:r>
                  <m:rPr>
                    <m:sty m:val="bi"/>
                  </m:rPr>
                  <w:rPr>
                    <w:rFonts w:ascii="Cambria Math" w:hAnsi="Cambria Math" w:cs="Arial"/>
                    <w:sz w:val="20"/>
                    <w:szCs w:val="20"/>
                  </w:rPr>
                  <m:t>03</m:t>
                </m:r>
                <m:r>
                  <m:rPr>
                    <m:sty m:val="bi"/>
                  </m:rPr>
                  <w:rPr>
                    <w:rFonts w:ascii="Cambria Math" w:hAnsi="Cambria Math" w:cs="Arial"/>
                    <w:sz w:val="20"/>
                    <w:szCs w:val="20"/>
                  </w:rPr>
                  <m:t>)</m:t>
                </m:r>
              </m:oMath>
            </m:oMathPara>
          </w:p>
          <w:p w14:paraId="3DD4A457" w14:textId="21960423" w:rsidR="00BB120B" w:rsidRDefault="00B67ACF" w:rsidP="00C212E0">
            <w:pPr>
              <w:spacing w:before="120" w:after="120" w:line="276" w:lineRule="auto"/>
              <w:jc w:val="both"/>
              <w:rPr>
                <w:b/>
                <w:sz w:val="20"/>
                <w:szCs w:val="20"/>
              </w:rPr>
            </w:pPr>
            <m:oMathPara>
              <m:oMathParaPr>
                <m:jc m:val="left"/>
              </m:oMathParaPr>
              <m:oMath>
                <m:sSub>
                  <m:sSubPr>
                    <m:ctrlPr>
                      <w:rPr>
                        <w:rFonts w:ascii="Cambria Math" w:hAnsi="Cambria Math" w:cstheme="minorHAnsi"/>
                        <w:b/>
                        <w:sz w:val="20"/>
                        <w:szCs w:val="20"/>
                      </w:rPr>
                    </m:ctrlPr>
                  </m:sSubPr>
                  <m:e>
                    <m:r>
                      <m:rPr>
                        <m:sty m:val="bi"/>
                      </m:rPr>
                      <w:rPr>
                        <w:rFonts w:ascii="Cambria Math" w:hAnsi="Cambria Math" w:cstheme="minorHAnsi"/>
                        <w:sz w:val="20"/>
                        <w:szCs w:val="20"/>
                      </w:rPr>
                      <m:t>N</m:t>
                    </m:r>
                  </m:e>
                  <m:sub>
                    <m:r>
                      <m:rPr>
                        <m:sty m:val="bi"/>
                      </m:rPr>
                      <w:rPr>
                        <w:rFonts w:ascii="Cambria Math" w:hAnsi="Cambria Math" w:cstheme="minorHAnsi"/>
                        <w:sz w:val="20"/>
                        <w:szCs w:val="20"/>
                      </w:rPr>
                      <m:t>V</m:t>
                    </m:r>
                    <m:r>
                      <m:rPr>
                        <m:sty m:val="bi"/>
                      </m:rPr>
                      <w:rPr>
                        <w:rFonts w:ascii="Cambria Math" w:hAnsi="Cambria Math" w:cstheme="minorHAnsi"/>
                        <w:sz w:val="20"/>
                        <w:szCs w:val="20"/>
                      </w:rPr>
                      <m:t>+</m:t>
                    </m:r>
                    <m:r>
                      <m:rPr>
                        <m:sty m:val="bi"/>
                      </m:rPr>
                      <w:rPr>
                        <w:rFonts w:ascii="Cambria Math" w:hAnsi="Cambria Math" w:cstheme="minorHAnsi"/>
                        <w:sz w:val="20"/>
                        <w:szCs w:val="20"/>
                      </w:rPr>
                      <m:t>1</m:t>
                    </m:r>
                  </m:sub>
                </m:sSub>
                <m:r>
                  <m:rPr>
                    <m:sty m:val="bi"/>
                  </m:rPr>
                  <w:rPr>
                    <w:rFonts w:ascii="Cambria Math" w:hAnsi="Cambria Math" w:cstheme="minorHAnsi"/>
                    <w:sz w:val="20"/>
                    <w:szCs w:val="20"/>
                  </w:rPr>
                  <m:t>=</m:t>
                </m:r>
                <m:r>
                  <m:rPr>
                    <m:sty m:val="bi"/>
                  </m:rPr>
                  <w:rPr>
                    <w:rFonts w:ascii="Cambria Math" w:hAnsi="Cambria Math" w:cstheme="minorHAnsi"/>
                    <w:sz w:val="20"/>
                    <w:szCs w:val="20"/>
                  </w:rPr>
                  <m:t>738</m:t>
                </m:r>
                <m:r>
                  <m:rPr>
                    <m:sty m:val="bi"/>
                  </m:rPr>
                  <w:rPr>
                    <w:rFonts w:ascii="Cambria Math" w:hAnsi="Cambria Math" w:cstheme="minorHAnsi"/>
                    <w:sz w:val="20"/>
                    <w:szCs w:val="20"/>
                  </w:rPr>
                  <m:t xml:space="preserve"> </m:t>
                </m:r>
                <m:r>
                  <m:rPr>
                    <m:sty m:val="bi"/>
                  </m:rPr>
                  <w:rPr>
                    <w:rFonts w:ascii="Cambria Math" w:hAnsi="Cambria Math" w:cstheme="minorHAnsi"/>
                    <w:sz w:val="20"/>
                    <w:szCs w:val="20"/>
                  </w:rPr>
                  <m:t>365</m:t>
                </m:r>
                <m:r>
                  <m:rPr>
                    <m:sty m:val="bi"/>
                  </m:rPr>
                  <w:rPr>
                    <w:rFonts w:ascii="Cambria Math" w:hAnsi="Cambria Math" w:cstheme="minorHAnsi"/>
                    <w:sz w:val="20"/>
                    <w:szCs w:val="20"/>
                  </w:rPr>
                  <m:t>,</m:t>
                </m:r>
                <m:r>
                  <m:rPr>
                    <m:sty m:val="bi"/>
                  </m:rPr>
                  <w:rPr>
                    <w:rFonts w:ascii="Cambria Math" w:hAnsi="Cambria Math" w:cstheme="minorHAnsi"/>
                    <w:sz w:val="20"/>
                    <w:szCs w:val="20"/>
                  </w:rPr>
                  <m:t>165</m:t>
                </m:r>
                <m:acc>
                  <m:accPr>
                    <m:chr m:val="̇"/>
                    <m:ctrlPr>
                      <w:rPr>
                        <w:rFonts w:ascii="Cambria Math" w:hAnsi="Cambria Math" w:cstheme="minorHAnsi"/>
                        <w:b/>
                        <w:i/>
                        <w:sz w:val="20"/>
                        <w:szCs w:val="20"/>
                      </w:rPr>
                    </m:ctrlPr>
                  </m:accPr>
                  <m:e>
                    <m:r>
                      <m:rPr>
                        <m:sty m:val="bi"/>
                      </m:rPr>
                      <w:rPr>
                        <w:rFonts w:ascii="Cambria Math" w:hAnsi="Cambria Math" w:cstheme="minorHAnsi"/>
                        <w:sz w:val="20"/>
                        <w:szCs w:val="20"/>
                      </w:rPr>
                      <m:t xml:space="preserve">= </m:t>
                    </m:r>
                  </m:e>
                </m:acc>
                <m:r>
                  <m:rPr>
                    <m:sty m:val="bi"/>
                  </m:rPr>
                  <w:rPr>
                    <w:rFonts w:ascii="Cambria Math" w:hAnsi="Cambria Math" w:cstheme="minorHAnsi"/>
                    <w:sz w:val="20"/>
                    <w:szCs w:val="20"/>
                  </w:rPr>
                  <m:t xml:space="preserve"> </m:t>
                </m:r>
                <m:r>
                  <m:rPr>
                    <m:sty m:val="bi"/>
                  </m:rPr>
                  <w:rPr>
                    <w:rFonts w:ascii="Cambria Math" w:hAnsi="Cambria Math" w:cstheme="minorHAnsi"/>
                    <w:sz w:val="20"/>
                    <w:szCs w:val="20"/>
                  </w:rPr>
                  <m:t>738</m:t>
                </m:r>
                <m:r>
                  <m:rPr>
                    <m:sty m:val="bi"/>
                  </m:rPr>
                  <w:rPr>
                    <w:rFonts w:ascii="Cambria Math" w:hAnsi="Cambria Math" w:cstheme="minorHAnsi"/>
                    <w:sz w:val="20"/>
                    <w:szCs w:val="20"/>
                  </w:rPr>
                  <m:t xml:space="preserve"> </m:t>
                </m:r>
                <m:r>
                  <m:rPr>
                    <m:sty m:val="bi"/>
                  </m:rPr>
                  <w:rPr>
                    <w:rFonts w:ascii="Cambria Math" w:hAnsi="Cambria Math" w:cstheme="minorHAnsi"/>
                    <w:sz w:val="20"/>
                    <w:szCs w:val="20"/>
                  </w:rPr>
                  <m:t>000</m:t>
                </m:r>
                <m:r>
                  <m:rPr>
                    <m:sty m:val="bi"/>
                  </m:rPr>
                  <w:rPr>
                    <w:rFonts w:ascii="Cambria Math" w:hAnsi="Cambria Math" w:cstheme="minorHAnsi"/>
                    <w:sz w:val="20"/>
                    <w:szCs w:val="20"/>
                  </w:rPr>
                  <m:t xml:space="preserve"> </m:t>
                </m:r>
                <m:r>
                  <m:rPr>
                    <m:sty m:val="bi"/>
                  </m:rPr>
                  <w:rPr>
                    <w:rFonts w:ascii="Cambria Math" w:hAnsi="Cambria Math" w:cstheme="minorHAnsi"/>
                    <w:sz w:val="20"/>
                    <w:szCs w:val="20"/>
                  </w:rPr>
                  <m:t>K</m:t>
                </m:r>
                <m:r>
                  <m:rPr>
                    <m:sty m:val="b"/>
                  </m:rPr>
                  <w:rPr>
                    <w:rFonts w:ascii="Cambria Math" w:hAnsi="Cambria Math" w:cstheme="minorHAnsi"/>
                    <w:sz w:val="20"/>
                    <w:szCs w:val="20"/>
                  </w:rPr>
                  <m:t>č</m:t>
                </m:r>
              </m:oMath>
            </m:oMathPara>
          </w:p>
          <w:p w14:paraId="21B1835C" w14:textId="7A0E04A4" w:rsidR="00BB120B" w:rsidRDefault="00BB120B" w:rsidP="00C212E0">
            <w:pPr>
              <w:spacing w:before="120" w:after="120" w:line="276" w:lineRule="auto"/>
              <w:jc w:val="both"/>
              <w:rPr>
                <w:b/>
              </w:rPr>
            </w:pPr>
            <w:r>
              <w:rPr>
                <w:b/>
              </w:rPr>
              <w:t>Výchozí hodnota nákladů na jednotku „lůžko“ v </w:t>
            </w:r>
            <w:r w:rsidR="00E31E98">
              <w:rPr>
                <w:b/>
              </w:rPr>
              <w:t>sociální službě chráněné bydlení</w:t>
            </w:r>
            <w:r>
              <w:rPr>
                <w:b/>
              </w:rPr>
              <w:t xml:space="preserve"> v roce </w:t>
            </w:r>
            <w:r w:rsidR="00EA1D9B">
              <w:rPr>
                <w:b/>
              </w:rPr>
              <w:t xml:space="preserve">2027 </w:t>
            </w:r>
            <w:r>
              <w:rPr>
                <w:b/>
              </w:rPr>
              <w:t xml:space="preserve">je </w:t>
            </w:r>
            <w:r w:rsidR="00EA1D9B">
              <w:rPr>
                <w:b/>
              </w:rPr>
              <w:t>7</w:t>
            </w:r>
            <w:r w:rsidR="00E31E98">
              <w:rPr>
                <w:b/>
              </w:rPr>
              <w:t>38</w:t>
            </w:r>
            <w:r w:rsidR="00EA1D9B">
              <w:rPr>
                <w:b/>
              </w:rPr>
              <w:t xml:space="preserve"> </w:t>
            </w:r>
            <w:r>
              <w:rPr>
                <w:b/>
              </w:rPr>
              <w:t>000 Kč.</w:t>
            </w:r>
          </w:p>
          <w:p w14:paraId="32092D86" w14:textId="77777777" w:rsidR="00BB120B" w:rsidRDefault="00BB120B" w:rsidP="00C212E0">
            <w:pPr>
              <w:spacing w:before="120" w:after="120" w:line="276" w:lineRule="auto"/>
              <w:jc w:val="both"/>
              <w:rPr>
                <w:b/>
                <w:sz w:val="20"/>
                <w:u w:val="single"/>
              </w:rPr>
            </w:pPr>
            <w:r w:rsidRPr="003104D1">
              <w:rPr>
                <w:b/>
                <w:sz w:val="20"/>
                <w:u w:val="single"/>
              </w:rPr>
              <w:t>Vysvětlivky:</w:t>
            </w:r>
          </w:p>
          <w:p w14:paraId="25244400" w14:textId="43913E02" w:rsidR="00BB120B" w:rsidRPr="00B673BA" w:rsidRDefault="00BB120B" w:rsidP="00C212E0">
            <w:pPr>
              <w:spacing w:before="120" w:after="120" w:line="276" w:lineRule="auto"/>
              <w:jc w:val="both"/>
              <w:rPr>
                <w:b/>
                <w:sz w:val="20"/>
                <w:u w:val="single"/>
              </w:rPr>
            </w:pPr>
            <w:r>
              <w:rPr>
                <w:sz w:val="20"/>
                <w:szCs w:val="20"/>
              </w:rPr>
              <w:t>R</w:t>
            </w:r>
            <w:r>
              <w:rPr>
                <w:sz w:val="20"/>
                <w:szCs w:val="20"/>
                <w:vertAlign w:val="subscript"/>
              </w:rPr>
              <w:t>v-1</w:t>
            </w:r>
            <w:r>
              <w:rPr>
                <w:sz w:val="20"/>
                <w:szCs w:val="20"/>
              </w:rPr>
              <w:t>…rok předcházející R</w:t>
            </w:r>
            <w:r>
              <w:rPr>
                <w:sz w:val="20"/>
                <w:szCs w:val="20"/>
                <w:vertAlign w:val="subscript"/>
              </w:rPr>
              <w:t>v</w:t>
            </w:r>
            <w:r>
              <w:rPr>
                <w:sz w:val="20"/>
                <w:szCs w:val="20"/>
              </w:rPr>
              <w:t xml:space="preserve"> (v příkladě rok </w:t>
            </w:r>
            <w:r w:rsidR="004235D2">
              <w:rPr>
                <w:sz w:val="20"/>
                <w:szCs w:val="20"/>
              </w:rPr>
              <w:t>2025</w:t>
            </w:r>
            <w:r>
              <w:rPr>
                <w:sz w:val="20"/>
                <w:szCs w:val="20"/>
              </w:rPr>
              <w:t>)</w:t>
            </w:r>
          </w:p>
          <w:p w14:paraId="7B517110" w14:textId="6D0BF6A9" w:rsidR="00BB120B" w:rsidRPr="003104D1" w:rsidRDefault="00BB120B" w:rsidP="00C212E0">
            <w:pPr>
              <w:spacing w:before="120" w:after="120" w:line="276" w:lineRule="auto"/>
              <w:jc w:val="both"/>
              <w:rPr>
                <w:sz w:val="20"/>
                <w:vertAlign w:val="subscript"/>
              </w:rPr>
            </w:pPr>
            <w:r w:rsidRPr="003104D1">
              <w:rPr>
                <w:sz w:val="20"/>
              </w:rPr>
              <w:t>R</w:t>
            </w:r>
            <w:r w:rsidRPr="003104D1">
              <w:rPr>
                <w:sz w:val="20"/>
                <w:vertAlign w:val="subscript"/>
              </w:rPr>
              <w:t>v</w:t>
            </w:r>
            <w:r w:rsidRPr="003104D1">
              <w:rPr>
                <w:sz w:val="20"/>
              </w:rPr>
              <w:t>…výchozí rok</w:t>
            </w:r>
            <w:r>
              <w:rPr>
                <w:sz w:val="20"/>
              </w:rPr>
              <w:t xml:space="preserve"> (v příkladě rok </w:t>
            </w:r>
            <w:r w:rsidR="004235D2">
              <w:rPr>
                <w:sz w:val="20"/>
              </w:rPr>
              <w:t>2026</w:t>
            </w:r>
            <w:r>
              <w:rPr>
                <w:sz w:val="20"/>
              </w:rPr>
              <w:t>)</w:t>
            </w:r>
          </w:p>
          <w:p w14:paraId="7E6B746F" w14:textId="2B56B611" w:rsidR="00BB120B" w:rsidRDefault="00BB120B" w:rsidP="00C212E0">
            <w:pPr>
              <w:spacing w:before="120" w:after="120" w:line="276" w:lineRule="auto"/>
              <w:jc w:val="both"/>
              <w:rPr>
                <w:sz w:val="20"/>
              </w:rPr>
            </w:pPr>
            <w:r w:rsidRPr="003104D1">
              <w:rPr>
                <w:sz w:val="20"/>
              </w:rPr>
              <w:t>R</w:t>
            </w:r>
            <w:r w:rsidRPr="003104D1">
              <w:rPr>
                <w:sz w:val="20"/>
                <w:vertAlign w:val="subscript"/>
              </w:rPr>
              <w:t>v+1</w:t>
            </w:r>
            <w:r w:rsidRPr="003104D1">
              <w:rPr>
                <w:sz w:val="20"/>
              </w:rPr>
              <w:t>…výchozí rok + 1</w:t>
            </w:r>
            <w:r>
              <w:rPr>
                <w:sz w:val="20"/>
              </w:rPr>
              <w:t xml:space="preserve"> (v příkladě rok </w:t>
            </w:r>
            <w:r w:rsidR="004235D2">
              <w:rPr>
                <w:sz w:val="20"/>
              </w:rPr>
              <w:t>2027</w:t>
            </w:r>
            <w:r>
              <w:rPr>
                <w:sz w:val="20"/>
              </w:rPr>
              <w:t>)</w:t>
            </w:r>
          </w:p>
          <w:p w14:paraId="7B5ECFD0" w14:textId="731BA312" w:rsidR="00BB120B" w:rsidRPr="003104D1" w:rsidRDefault="00BB120B" w:rsidP="00C212E0">
            <w:pPr>
              <w:spacing w:before="120" w:after="120" w:line="276" w:lineRule="auto"/>
              <w:jc w:val="both"/>
              <w:rPr>
                <w:sz w:val="20"/>
                <w:vertAlign w:val="subscript"/>
              </w:rPr>
            </w:pPr>
            <w:r w:rsidRPr="5E9F2BA3">
              <w:rPr>
                <w:sz w:val="20"/>
                <w:szCs w:val="20"/>
              </w:rPr>
              <w:t>N</w:t>
            </w:r>
            <w:r w:rsidRPr="00BE5108">
              <w:rPr>
                <w:sz w:val="20"/>
                <w:szCs w:val="20"/>
                <w:vertAlign w:val="subscript"/>
              </w:rPr>
              <w:t>o</w:t>
            </w:r>
            <w:r>
              <w:rPr>
                <w:sz w:val="20"/>
                <w:szCs w:val="20"/>
              </w:rPr>
              <w:t>…obvyklý náklad R</w:t>
            </w:r>
            <w:r>
              <w:rPr>
                <w:sz w:val="20"/>
                <w:szCs w:val="20"/>
                <w:vertAlign w:val="subscript"/>
              </w:rPr>
              <w:t xml:space="preserve">v-1 </w:t>
            </w:r>
            <w:r>
              <w:rPr>
                <w:sz w:val="20"/>
                <w:szCs w:val="20"/>
              </w:rPr>
              <w:t xml:space="preserve">z dat poslední známé skutečnosti (v příkladě roku </w:t>
            </w:r>
            <w:r w:rsidR="004235D2">
              <w:rPr>
                <w:sz w:val="20"/>
                <w:szCs w:val="20"/>
              </w:rPr>
              <w:t>2025</w:t>
            </w:r>
            <w:r>
              <w:rPr>
                <w:sz w:val="20"/>
                <w:szCs w:val="20"/>
              </w:rPr>
              <w:t>)</w:t>
            </w:r>
          </w:p>
          <w:p w14:paraId="7F576AC0" w14:textId="10383D40" w:rsidR="00BB120B" w:rsidRPr="003104D1" w:rsidRDefault="00BB120B" w:rsidP="00C212E0">
            <w:pPr>
              <w:spacing w:before="120" w:after="120" w:line="276" w:lineRule="auto"/>
              <w:jc w:val="both"/>
              <w:rPr>
                <w:rFonts w:cs="Arial"/>
                <w:sz w:val="10"/>
                <w:szCs w:val="12"/>
              </w:rPr>
            </w:pPr>
            <w:r w:rsidRPr="003104D1">
              <w:rPr>
                <w:rFonts w:cs="Arial"/>
                <w:sz w:val="20"/>
              </w:rPr>
              <w:t>N</w:t>
            </w:r>
            <w:r w:rsidRPr="003104D1">
              <w:rPr>
                <w:rFonts w:cs="Arial"/>
                <w:sz w:val="10"/>
                <w:szCs w:val="12"/>
              </w:rPr>
              <w:t>V</w:t>
            </w:r>
            <w:r w:rsidRPr="003104D1">
              <w:rPr>
                <w:sz w:val="20"/>
              </w:rPr>
              <w:t>…obvyklý náklad výchozího roku</w:t>
            </w:r>
            <w:r>
              <w:rPr>
                <w:sz w:val="20"/>
              </w:rPr>
              <w:t xml:space="preserve"> (v příkladě rok </w:t>
            </w:r>
            <w:r w:rsidR="004235D2">
              <w:rPr>
                <w:sz w:val="20"/>
              </w:rPr>
              <w:t>2026</w:t>
            </w:r>
            <w:r>
              <w:rPr>
                <w:sz w:val="20"/>
              </w:rPr>
              <w:t>)</w:t>
            </w:r>
          </w:p>
          <w:p w14:paraId="57A74242" w14:textId="73A56A6F" w:rsidR="00BB120B" w:rsidRPr="0076002C" w:rsidRDefault="00BB120B" w:rsidP="00C212E0">
            <w:pPr>
              <w:spacing w:before="120" w:after="120" w:line="276" w:lineRule="auto"/>
              <w:jc w:val="both"/>
              <w:rPr>
                <w:sz w:val="20"/>
                <w:szCs w:val="20"/>
              </w:rPr>
            </w:pPr>
            <w:r w:rsidRPr="5E9F2BA3">
              <w:rPr>
                <w:rFonts w:cs="Arial"/>
                <w:sz w:val="20"/>
                <w:szCs w:val="20"/>
              </w:rPr>
              <w:t>N</w:t>
            </w:r>
            <w:r w:rsidRPr="5E9F2BA3">
              <w:rPr>
                <w:rFonts w:cs="Arial"/>
                <w:sz w:val="10"/>
                <w:szCs w:val="10"/>
              </w:rPr>
              <w:t>V + 1</w:t>
            </w:r>
            <w:r w:rsidRPr="5E9F2BA3">
              <w:rPr>
                <w:sz w:val="20"/>
                <w:szCs w:val="20"/>
              </w:rPr>
              <w:t>…obvyklý náklad výchozího roku + 1</w:t>
            </w:r>
            <w:r>
              <w:rPr>
                <w:sz w:val="20"/>
                <w:szCs w:val="20"/>
              </w:rPr>
              <w:t xml:space="preserve"> </w:t>
            </w:r>
            <w:r w:rsidRPr="2C8DF79A">
              <w:rPr>
                <w:sz w:val="20"/>
                <w:szCs w:val="20"/>
              </w:rPr>
              <w:t xml:space="preserve">(v příkladě rok </w:t>
            </w:r>
            <w:r w:rsidR="004235D2" w:rsidRPr="2C8DF79A">
              <w:rPr>
                <w:sz w:val="20"/>
                <w:szCs w:val="20"/>
              </w:rPr>
              <w:t>202</w:t>
            </w:r>
            <w:r w:rsidR="004235D2">
              <w:rPr>
                <w:sz w:val="20"/>
                <w:szCs w:val="20"/>
              </w:rPr>
              <w:t>7</w:t>
            </w:r>
            <w:r w:rsidRPr="2C8DF79A">
              <w:rPr>
                <w:sz w:val="20"/>
                <w:szCs w:val="20"/>
              </w:rPr>
              <w:t>)</w:t>
            </w:r>
          </w:p>
          <w:p w14:paraId="46A5B737" w14:textId="043CFFCA" w:rsidR="00BB120B" w:rsidRDefault="00BB120B" w:rsidP="00C212E0">
            <w:pPr>
              <w:spacing w:before="120" w:after="120" w:line="276" w:lineRule="auto"/>
              <w:jc w:val="both"/>
              <w:rPr>
                <w:sz w:val="20"/>
                <w:szCs w:val="20"/>
              </w:rPr>
            </w:pPr>
            <w:r>
              <w:rPr>
                <w:sz w:val="20"/>
                <w:szCs w:val="20"/>
              </w:rPr>
              <w:t>m</w:t>
            </w:r>
            <w:r>
              <w:rPr>
                <w:sz w:val="20"/>
                <w:szCs w:val="20"/>
                <w:vertAlign w:val="subscript"/>
              </w:rPr>
              <w:t>v</w:t>
            </w:r>
            <w:r>
              <w:rPr>
                <w:sz w:val="20"/>
                <w:szCs w:val="20"/>
              </w:rPr>
              <w:t xml:space="preserve"> …podíl osobních nákladů na celkových nákladech SSL výchozího roku (v příkladě rok </w:t>
            </w:r>
            <w:r w:rsidR="00C65DD4">
              <w:rPr>
                <w:sz w:val="20"/>
                <w:szCs w:val="20"/>
              </w:rPr>
              <w:t>2026</w:t>
            </w:r>
            <w:r>
              <w:rPr>
                <w:sz w:val="20"/>
                <w:szCs w:val="20"/>
              </w:rPr>
              <w:t>)</w:t>
            </w:r>
          </w:p>
          <w:p w14:paraId="5E729FA1" w14:textId="21327C55" w:rsidR="00BB120B" w:rsidRDefault="00BB120B" w:rsidP="00C212E0">
            <w:pPr>
              <w:spacing w:before="120" w:after="120" w:line="276" w:lineRule="auto"/>
              <w:jc w:val="both"/>
              <w:rPr>
                <w:sz w:val="20"/>
                <w:szCs w:val="20"/>
              </w:rPr>
            </w:pPr>
            <w:r>
              <w:rPr>
                <w:sz w:val="20"/>
                <w:szCs w:val="20"/>
              </w:rPr>
              <w:t>m</w:t>
            </w:r>
            <w:r>
              <w:rPr>
                <w:sz w:val="20"/>
                <w:szCs w:val="20"/>
                <w:vertAlign w:val="subscript"/>
              </w:rPr>
              <w:t>v+1…</w:t>
            </w:r>
            <w:r>
              <w:rPr>
                <w:sz w:val="20"/>
                <w:szCs w:val="20"/>
              </w:rPr>
              <w:t xml:space="preserve">podíl osobních nákladů na celkových nákladech SSL výchozího roku +1 (v příkladě rok </w:t>
            </w:r>
            <w:r w:rsidR="00C65DD4">
              <w:rPr>
                <w:sz w:val="20"/>
                <w:szCs w:val="20"/>
              </w:rPr>
              <w:t>2027</w:t>
            </w:r>
            <w:r>
              <w:rPr>
                <w:sz w:val="20"/>
                <w:szCs w:val="20"/>
              </w:rPr>
              <w:t>)</w:t>
            </w:r>
          </w:p>
          <w:p w14:paraId="6E62DDD8" w14:textId="7B56DEAD" w:rsidR="00BB120B" w:rsidRDefault="00BB120B" w:rsidP="00C212E0">
            <w:pPr>
              <w:spacing w:before="120" w:after="120" w:line="276" w:lineRule="auto"/>
              <w:jc w:val="both"/>
              <w:rPr>
                <w:sz w:val="20"/>
                <w:szCs w:val="20"/>
              </w:rPr>
            </w:pPr>
            <w:r>
              <w:rPr>
                <w:sz w:val="20"/>
                <w:szCs w:val="20"/>
              </w:rPr>
              <w:t>p</w:t>
            </w:r>
            <w:r>
              <w:rPr>
                <w:sz w:val="20"/>
                <w:szCs w:val="20"/>
                <w:vertAlign w:val="subscript"/>
              </w:rPr>
              <w:t>v</w:t>
            </w:r>
            <w:r>
              <w:rPr>
                <w:sz w:val="20"/>
                <w:szCs w:val="20"/>
              </w:rPr>
              <w:t xml:space="preserve">…podíl provozních nákladů na celkových nákladech SSL výchozího roku (v příkladě rok </w:t>
            </w:r>
            <w:r w:rsidR="00C65DD4">
              <w:rPr>
                <w:sz w:val="20"/>
                <w:szCs w:val="20"/>
              </w:rPr>
              <w:t>2026</w:t>
            </w:r>
            <w:r>
              <w:rPr>
                <w:sz w:val="20"/>
                <w:szCs w:val="20"/>
              </w:rPr>
              <w:t>)</w:t>
            </w:r>
          </w:p>
          <w:p w14:paraId="61E5990F" w14:textId="2BAF0118" w:rsidR="00BB120B" w:rsidRPr="0076002C" w:rsidRDefault="00BB120B" w:rsidP="00C212E0">
            <w:pPr>
              <w:spacing w:before="120" w:after="120" w:line="276" w:lineRule="auto"/>
              <w:jc w:val="both"/>
              <w:rPr>
                <w:sz w:val="20"/>
                <w:szCs w:val="20"/>
              </w:rPr>
            </w:pPr>
            <w:r>
              <w:rPr>
                <w:sz w:val="20"/>
                <w:szCs w:val="20"/>
              </w:rPr>
              <w:t>p</w:t>
            </w:r>
            <w:r>
              <w:rPr>
                <w:sz w:val="20"/>
                <w:szCs w:val="20"/>
                <w:vertAlign w:val="subscript"/>
              </w:rPr>
              <w:t>v+1</w:t>
            </w:r>
            <w:r>
              <w:rPr>
                <w:sz w:val="20"/>
                <w:szCs w:val="20"/>
              </w:rPr>
              <w:t xml:space="preserve">…podíl provozních nákladů na celkových nákladech SSL výchozího roku +1 (v příkladě rok </w:t>
            </w:r>
            <w:r w:rsidR="00C65DD4">
              <w:rPr>
                <w:sz w:val="20"/>
                <w:szCs w:val="20"/>
              </w:rPr>
              <w:t>2027</w:t>
            </w:r>
            <w:r>
              <w:rPr>
                <w:sz w:val="20"/>
                <w:szCs w:val="20"/>
              </w:rPr>
              <w:t>)</w:t>
            </w:r>
          </w:p>
        </w:tc>
      </w:tr>
    </w:tbl>
    <w:p w14:paraId="2262263B" w14:textId="77777777" w:rsidR="006F2FEF" w:rsidRDefault="006F2FEF">
      <w:pPr>
        <w:pStyle w:val="Odstavecseseznamem"/>
        <w:spacing w:before="120" w:after="120"/>
        <w:ind w:left="0"/>
        <w:contextualSpacing w:val="0"/>
        <w:jc w:val="both"/>
        <w:rPr>
          <w:b/>
        </w:rPr>
      </w:pPr>
    </w:p>
    <w:p w14:paraId="2A616593" w14:textId="6350C85C" w:rsidR="00475554" w:rsidRDefault="00B25E93">
      <w:pPr>
        <w:pStyle w:val="Odstavecseseznamem"/>
        <w:spacing w:before="120" w:after="120"/>
        <w:ind w:left="0"/>
        <w:contextualSpacing w:val="0"/>
        <w:jc w:val="both"/>
        <w:rPr>
          <w:b/>
        </w:rPr>
      </w:pPr>
      <w:r w:rsidRPr="00244D84">
        <w:rPr>
          <w:b/>
        </w:rPr>
        <w:t xml:space="preserve">Výchozí hodnota </w:t>
      </w:r>
      <w:r w:rsidR="000A39CD" w:rsidRPr="00481275">
        <w:rPr>
          <w:b/>
          <w:highlight w:val="yellow"/>
        </w:rPr>
        <w:t>obvyklého</w:t>
      </w:r>
      <w:r w:rsidR="000A39CD">
        <w:rPr>
          <w:b/>
        </w:rPr>
        <w:t xml:space="preserve"> </w:t>
      </w:r>
      <w:r w:rsidRPr="00244D84">
        <w:rPr>
          <w:b/>
        </w:rPr>
        <w:t xml:space="preserve">nákladu na jednotku může být následně upravena na základě </w:t>
      </w:r>
      <w:r w:rsidR="000A39CD" w:rsidRPr="003D1B30">
        <w:rPr>
          <w:b/>
          <w:highlight w:val="yellow"/>
        </w:rPr>
        <w:t>analýzy zdrojů</w:t>
      </w:r>
      <w:r w:rsidR="000A39CD">
        <w:rPr>
          <w:b/>
        </w:rPr>
        <w:t xml:space="preserve"> a </w:t>
      </w:r>
      <w:r w:rsidRPr="00244D84">
        <w:rPr>
          <w:b/>
        </w:rPr>
        <w:t xml:space="preserve">odborného posouzení </w:t>
      </w:r>
      <w:r w:rsidRPr="00541D66">
        <w:rPr>
          <w:b/>
        </w:rPr>
        <w:t>Odborem sociálních věcí Krajského úřadu Zlínského kraje.</w:t>
      </w:r>
    </w:p>
    <w:p w14:paraId="75827E75" w14:textId="77777777" w:rsidR="00B25E93" w:rsidRDefault="00B25E93">
      <w:pPr>
        <w:pStyle w:val="Odstavecseseznamem"/>
        <w:spacing w:before="120" w:after="120"/>
        <w:ind w:left="0"/>
        <w:contextualSpacing w:val="0"/>
        <w:jc w:val="both"/>
        <w:rPr>
          <w:rFonts w:cs="Arial"/>
          <w:color w:val="000000" w:themeColor="text1"/>
          <w:highlight w:val="yellow"/>
        </w:rPr>
      </w:pPr>
    </w:p>
    <w:p w14:paraId="2A3A4857" w14:textId="77777777" w:rsidR="00475554" w:rsidRDefault="00157B87">
      <w:pPr>
        <w:pStyle w:val="Default"/>
        <w:spacing w:before="120" w:after="240" w:line="276" w:lineRule="auto"/>
        <w:jc w:val="both"/>
        <w:rPr>
          <w:rFonts w:asciiTheme="minorHAnsi" w:hAnsiTheme="minorHAnsi" w:cs="Arial"/>
          <w:b/>
          <w:color w:val="4F81BD" w:themeColor="accent1"/>
          <w:sz w:val="22"/>
          <w:szCs w:val="22"/>
        </w:rPr>
      </w:pPr>
      <w:r>
        <w:rPr>
          <w:rFonts w:asciiTheme="minorHAnsi" w:hAnsiTheme="minorHAnsi" w:cs="Arial"/>
          <w:b/>
          <w:color w:val="4F81BD" w:themeColor="accent1"/>
          <w:sz w:val="22"/>
          <w:szCs w:val="22"/>
        </w:rPr>
        <w:t>Mimořádné změny legislativy s dopadem na navýšení nákladů poskytovatelů sociálních služeb</w:t>
      </w:r>
    </w:p>
    <w:p w14:paraId="18F5F292" w14:textId="77777777" w:rsidR="00475554" w:rsidRDefault="00157B87">
      <w:pPr>
        <w:pStyle w:val="Odstavecseseznamem"/>
        <w:spacing w:before="120" w:after="120"/>
        <w:ind w:left="0"/>
        <w:contextualSpacing w:val="0"/>
        <w:jc w:val="both"/>
        <w:rPr>
          <w:rFonts w:cs="Arial"/>
          <w:color w:val="000000" w:themeColor="text1"/>
        </w:rPr>
      </w:pPr>
      <w:r>
        <w:rPr>
          <w:rFonts w:cs="Arial"/>
          <w:color w:val="000000" w:themeColor="text1"/>
        </w:rPr>
        <w:t>V případě změny legislativy, která zásadním způsobem může ovlivnit obvyklé náklady v celém segmentu sociálních služeb (např. změny daňových zákonů, změny předpisů upravující výši platů a mezd atd.), jsou o dopady těchto změn procentuálně upraveny (zvýšeny/sníženy) obvyklé náklady</w:t>
      </w:r>
      <w:r w:rsidR="003457B0">
        <w:rPr>
          <w:rFonts w:cs="Arial"/>
          <w:color w:val="000000" w:themeColor="text1"/>
        </w:rPr>
        <w:t xml:space="preserve"> </w:t>
      </w:r>
      <w:r w:rsidR="00A50B97">
        <w:rPr>
          <w:rFonts w:cs="Arial"/>
          <w:color w:val="000000" w:themeColor="text1"/>
        </w:rPr>
        <w:t xml:space="preserve">pro konkrétní druhy </w:t>
      </w:r>
      <w:r w:rsidR="000536BA">
        <w:rPr>
          <w:rFonts w:cs="Arial"/>
          <w:color w:val="000000" w:themeColor="text1"/>
        </w:rPr>
        <w:lastRenderedPageBreak/>
        <w:t xml:space="preserve">sociálních </w:t>
      </w:r>
      <w:r w:rsidR="00A50B97">
        <w:rPr>
          <w:rFonts w:cs="Arial"/>
          <w:color w:val="000000" w:themeColor="text1"/>
        </w:rPr>
        <w:t>služeb</w:t>
      </w:r>
      <w:r>
        <w:rPr>
          <w:rFonts w:cs="Arial"/>
          <w:color w:val="000000" w:themeColor="text1"/>
        </w:rPr>
        <w:t>, které tyto legislativní změny ovlivňují.</w:t>
      </w:r>
      <w:r w:rsidR="003457B0">
        <w:rPr>
          <w:rFonts w:cs="Arial"/>
          <w:color w:val="000000" w:themeColor="text1"/>
        </w:rPr>
        <w:t xml:space="preserve"> </w:t>
      </w:r>
      <w:r w:rsidR="00A50B97" w:rsidRPr="00A50B97">
        <w:rPr>
          <w:rFonts w:cs="Arial"/>
          <w:color w:val="000000" w:themeColor="text1"/>
        </w:rPr>
        <w:t>K</w:t>
      </w:r>
      <w:r w:rsidRPr="00A50B97">
        <w:rPr>
          <w:rFonts w:cs="Arial"/>
          <w:color w:val="000000" w:themeColor="text1"/>
        </w:rPr>
        <w:t>onkrétní změna (zvýšení/snížení) obvyklých nákladů je zveřejňována na webových stránkách Zlínského kraje.</w:t>
      </w:r>
    </w:p>
    <w:p w14:paraId="2E679106" w14:textId="77777777" w:rsidR="00475554" w:rsidRDefault="00475554">
      <w:pPr>
        <w:pStyle w:val="Odstavecseseznamem"/>
        <w:spacing w:before="120" w:after="120"/>
        <w:ind w:left="0"/>
        <w:contextualSpacing w:val="0"/>
        <w:jc w:val="both"/>
        <w:rPr>
          <w:rFonts w:cs="Arial"/>
          <w:color w:val="000000" w:themeColor="text1"/>
        </w:rPr>
      </w:pPr>
    </w:p>
    <w:p w14:paraId="56335FAE" w14:textId="77777777" w:rsidR="00475554" w:rsidRDefault="00157B87">
      <w:pPr>
        <w:pStyle w:val="Nadpis2"/>
        <w:spacing w:before="120" w:after="120"/>
        <w:ind w:left="709" w:hanging="709"/>
        <w:jc w:val="both"/>
        <w:rPr>
          <w:rFonts w:ascii="Calibri" w:hAnsi="Calibri"/>
          <w:sz w:val="28"/>
          <w:szCs w:val="28"/>
        </w:rPr>
      </w:pPr>
      <w:bookmarkStart w:id="40" w:name="_Toc230777912"/>
      <w:r>
        <w:rPr>
          <w:rFonts w:ascii="Calibri" w:hAnsi="Calibri"/>
          <w:sz w:val="28"/>
          <w:szCs w:val="28"/>
        </w:rPr>
        <w:t>Výnosy sociální služby</w:t>
      </w:r>
      <w:bookmarkEnd w:id="40"/>
    </w:p>
    <w:p w14:paraId="0BEA8183" w14:textId="77777777" w:rsidR="00475554" w:rsidRDefault="00475554">
      <w:pPr>
        <w:spacing w:before="120" w:after="120"/>
        <w:jc w:val="both"/>
      </w:pPr>
    </w:p>
    <w:p w14:paraId="3E773643" w14:textId="77777777" w:rsidR="00475554" w:rsidRDefault="00157B87">
      <w:pPr>
        <w:spacing w:before="120" w:after="120"/>
        <w:jc w:val="both"/>
      </w:pPr>
      <w:r>
        <w:t>Výnosy financování sociálních služeb se rozumí veškeré výnosy poskytovatelů sociálních služeb ze služeb obecného hospodářského zájmu (pouze základní činnosti).</w:t>
      </w:r>
    </w:p>
    <w:p w14:paraId="7E69809A" w14:textId="77777777" w:rsidR="00475554" w:rsidRDefault="00157B87">
      <w:pPr>
        <w:spacing w:before="120" w:after="120"/>
        <w:jc w:val="both"/>
        <w:rPr>
          <w:b/>
        </w:rPr>
      </w:pPr>
      <w:r>
        <w:rPr>
          <w:b/>
        </w:rPr>
        <w:t>U jednotlivých výnosů financování se provádí obdobná analýza jako u nákladů na stanovenou jednotku.</w:t>
      </w:r>
    </w:p>
    <w:p w14:paraId="3077931A" w14:textId="77777777" w:rsidR="00475554" w:rsidRDefault="00157B87">
      <w:pPr>
        <w:pStyle w:val="Odstavecseseznamem"/>
        <w:numPr>
          <w:ilvl w:val="0"/>
          <w:numId w:val="7"/>
        </w:numPr>
        <w:spacing w:before="120" w:after="120"/>
        <w:ind w:left="426" w:hanging="426"/>
        <w:contextualSpacing w:val="0"/>
        <w:jc w:val="both"/>
      </w:pPr>
      <w:r>
        <w:t>Pro stanovení vyrovnávací platby na základě analýzy sociální služby a v závislosti na předpokladu úhrad uživatelů jsou sociální služby následně členěny na:</w:t>
      </w:r>
    </w:p>
    <w:p w14:paraId="7653095C" w14:textId="77777777" w:rsidR="00475554" w:rsidRDefault="00157B87">
      <w:pPr>
        <w:pStyle w:val="Odstavecseseznamem"/>
        <w:numPr>
          <w:ilvl w:val="0"/>
          <w:numId w:val="5"/>
        </w:numPr>
        <w:spacing w:before="120" w:after="120"/>
        <w:ind w:left="851" w:hanging="425"/>
        <w:contextualSpacing w:val="0"/>
        <w:jc w:val="both"/>
      </w:pPr>
      <w:r>
        <w:t>Pobytové služby sociální péče – s úhradou uživatelů</w:t>
      </w:r>
    </w:p>
    <w:p w14:paraId="6A9B021C" w14:textId="77777777" w:rsidR="00475554" w:rsidRDefault="00157B87">
      <w:pPr>
        <w:pStyle w:val="Odstavecseseznamem"/>
        <w:numPr>
          <w:ilvl w:val="0"/>
          <w:numId w:val="5"/>
        </w:numPr>
        <w:spacing w:before="120" w:after="120"/>
        <w:ind w:left="851" w:hanging="425"/>
        <w:contextualSpacing w:val="0"/>
        <w:jc w:val="both"/>
      </w:pPr>
      <w:r>
        <w:t>Pobytové služby sociální prevence – s úhradou uživatelů</w:t>
      </w:r>
    </w:p>
    <w:p w14:paraId="57ACD765" w14:textId="77777777" w:rsidR="00475554" w:rsidRDefault="00157B87">
      <w:pPr>
        <w:pStyle w:val="Odstavecseseznamem"/>
        <w:numPr>
          <w:ilvl w:val="0"/>
          <w:numId w:val="5"/>
        </w:numPr>
        <w:spacing w:before="120" w:after="120"/>
        <w:ind w:left="851" w:hanging="425"/>
        <w:contextualSpacing w:val="0"/>
        <w:jc w:val="both"/>
      </w:pPr>
      <w:r>
        <w:t>Ambulantní služby sociální péče – s úhradou uživatelů</w:t>
      </w:r>
    </w:p>
    <w:p w14:paraId="1CD014C3" w14:textId="77777777" w:rsidR="00475554" w:rsidRDefault="00157B87">
      <w:pPr>
        <w:pStyle w:val="Odstavecseseznamem"/>
        <w:numPr>
          <w:ilvl w:val="0"/>
          <w:numId w:val="5"/>
        </w:numPr>
        <w:spacing w:before="120" w:after="120"/>
        <w:ind w:left="851" w:hanging="425"/>
        <w:contextualSpacing w:val="0"/>
        <w:jc w:val="both"/>
      </w:pPr>
      <w:r>
        <w:t>Ambulantní služby sociální prevence – bez úhrady uživatelů</w:t>
      </w:r>
    </w:p>
    <w:p w14:paraId="75B932DC" w14:textId="77777777" w:rsidR="00475554" w:rsidRDefault="00157B87">
      <w:pPr>
        <w:pStyle w:val="Odstavecseseznamem"/>
        <w:numPr>
          <w:ilvl w:val="0"/>
          <w:numId w:val="5"/>
        </w:numPr>
        <w:spacing w:before="120" w:after="120"/>
        <w:ind w:left="851" w:hanging="425"/>
        <w:contextualSpacing w:val="0"/>
        <w:jc w:val="both"/>
      </w:pPr>
      <w:r>
        <w:t>Terénní služby sociální péče – s úhradou uživatelů</w:t>
      </w:r>
    </w:p>
    <w:p w14:paraId="5CE120B3" w14:textId="77777777" w:rsidR="00475554" w:rsidRDefault="00157B87">
      <w:pPr>
        <w:pStyle w:val="Odstavecseseznamem"/>
        <w:numPr>
          <w:ilvl w:val="0"/>
          <w:numId w:val="5"/>
        </w:numPr>
        <w:spacing w:before="120" w:after="120"/>
        <w:ind w:left="851" w:hanging="425"/>
        <w:contextualSpacing w:val="0"/>
        <w:jc w:val="both"/>
      </w:pPr>
      <w:r>
        <w:t>Terénní služby sociální prevence – bez úhrady uživatelů</w:t>
      </w:r>
    </w:p>
    <w:p w14:paraId="43B059C1" w14:textId="77777777" w:rsidR="00475554" w:rsidRDefault="00157B87">
      <w:pPr>
        <w:pStyle w:val="Odstavecseseznamem"/>
        <w:numPr>
          <w:ilvl w:val="0"/>
          <w:numId w:val="5"/>
        </w:numPr>
        <w:spacing w:before="120" w:after="120"/>
        <w:ind w:left="851" w:hanging="425"/>
        <w:contextualSpacing w:val="0"/>
        <w:jc w:val="both"/>
      </w:pPr>
      <w:r>
        <w:t>Služby sociálního poradenství – bez úhrady uživatelů</w:t>
      </w:r>
    </w:p>
    <w:p w14:paraId="5F701C13" w14:textId="0963E095" w:rsidR="00475554" w:rsidRPr="00C23C23" w:rsidRDefault="00157B87">
      <w:pPr>
        <w:spacing w:before="120" w:after="120"/>
        <w:ind w:left="426"/>
        <w:jc w:val="both"/>
        <w:rPr>
          <w:spacing w:val="-2"/>
        </w:rPr>
      </w:pPr>
      <w:r>
        <w:t xml:space="preserve">Výnosy od uživatelů jsou modelovány s ohledem na regulace stanovené zákonem </w:t>
      </w:r>
      <w:r w:rsidR="00077C41">
        <w:t>č. 108/2006 Sb.</w:t>
      </w:r>
      <w:r>
        <w:t>, jeho prováděcí vyhlášky č. 505/2006 Sb. (dále jen „prováděcí vyhláška“)</w:t>
      </w:r>
      <w:r w:rsidR="00C23C23">
        <w:t>.</w:t>
      </w:r>
    </w:p>
    <w:p w14:paraId="6AF1F25F" w14:textId="57AB673B" w:rsidR="00475554" w:rsidRDefault="00157B87">
      <w:pPr>
        <w:pStyle w:val="Odstavecseseznamem"/>
        <w:numPr>
          <w:ilvl w:val="0"/>
          <w:numId w:val="7"/>
        </w:numPr>
        <w:spacing w:before="120" w:after="120"/>
        <w:ind w:left="426" w:hanging="426"/>
        <w:contextualSpacing w:val="0"/>
        <w:jc w:val="both"/>
      </w:pPr>
      <w:r>
        <w:t xml:space="preserve">Do výnosové části jsou kalkulovány výnosy za zdravotní péči (pouze u sociálních služeb, kde se zajištění zdravotní péče předpokládá dle zákona </w:t>
      </w:r>
      <w:r w:rsidR="00077C41">
        <w:t>č. 108/2006 Sb.</w:t>
      </w:r>
      <w:r>
        <w:t>).</w:t>
      </w:r>
    </w:p>
    <w:p w14:paraId="21011569" w14:textId="79033E72" w:rsidR="00475554" w:rsidRPr="0074467B" w:rsidRDefault="00157B87" w:rsidP="001F45F6">
      <w:pPr>
        <w:pStyle w:val="Odstavecseseznamem"/>
        <w:numPr>
          <w:ilvl w:val="0"/>
          <w:numId w:val="7"/>
        </w:numPr>
        <w:spacing w:before="120" w:after="120"/>
        <w:ind w:left="426" w:hanging="426"/>
        <w:contextualSpacing w:val="0"/>
        <w:jc w:val="both"/>
        <w:rPr>
          <w:rFonts w:cs="Arial"/>
        </w:rPr>
      </w:pPr>
      <w:r>
        <w:t xml:space="preserve">Ostatní výnosy zahrnují dary, výnosy z Nadací a nadačních fondů, zisky z let minulých apod. </w:t>
      </w:r>
      <w:r>
        <w:rPr>
          <w:rFonts w:cs="Arial"/>
        </w:rPr>
        <w:t>Ostatní výnosy jsou modelovány na základě analýzy skutečných ostatních výnosů poskytovatelů sociálních služeb.</w:t>
      </w:r>
      <w:bookmarkStart w:id="41" w:name="_Ref385482701"/>
    </w:p>
    <w:p w14:paraId="7A7FA91F" w14:textId="77777777" w:rsidR="00373FB1" w:rsidRDefault="00373FB1">
      <w:pPr>
        <w:rPr>
          <w:rFonts w:cs="Arial"/>
        </w:rPr>
      </w:pPr>
    </w:p>
    <w:p w14:paraId="419F1A70" w14:textId="77777777" w:rsidR="00475554" w:rsidRDefault="00157B87">
      <w:pPr>
        <w:pStyle w:val="Nadpis2"/>
        <w:spacing w:before="120" w:after="120"/>
        <w:ind w:left="709" w:hanging="709"/>
        <w:jc w:val="both"/>
        <w:rPr>
          <w:rFonts w:ascii="Calibri" w:hAnsi="Calibri"/>
          <w:sz w:val="28"/>
          <w:szCs w:val="28"/>
        </w:rPr>
      </w:pPr>
      <w:bookmarkStart w:id="42" w:name="_Ref387338563"/>
      <w:bookmarkStart w:id="43" w:name="_Ref387338890"/>
      <w:bookmarkStart w:id="44" w:name="_Toc230777913"/>
      <w:r>
        <w:rPr>
          <w:rFonts w:ascii="Calibri" w:hAnsi="Calibri"/>
          <w:sz w:val="28"/>
          <w:szCs w:val="28"/>
        </w:rPr>
        <w:t>V</w:t>
      </w:r>
      <w:bookmarkStart w:id="45" w:name="_Toc386625348"/>
      <w:bookmarkStart w:id="46" w:name="_Toc385925696"/>
      <w:r>
        <w:rPr>
          <w:rFonts w:ascii="Calibri" w:hAnsi="Calibri"/>
          <w:sz w:val="28"/>
          <w:szCs w:val="28"/>
        </w:rPr>
        <w:t>yrovnávací platba</w:t>
      </w:r>
      <w:bookmarkEnd w:id="41"/>
      <w:bookmarkEnd w:id="42"/>
      <w:bookmarkEnd w:id="43"/>
      <w:bookmarkEnd w:id="44"/>
      <w:bookmarkEnd w:id="45"/>
      <w:bookmarkEnd w:id="46"/>
    </w:p>
    <w:p w14:paraId="0FC6047F" w14:textId="77777777" w:rsidR="00475554" w:rsidRDefault="00475554">
      <w:pPr>
        <w:spacing w:before="120" w:after="120"/>
        <w:jc w:val="both"/>
      </w:pPr>
    </w:p>
    <w:p w14:paraId="3AA72C64" w14:textId="77777777" w:rsidR="00475554" w:rsidRDefault="00157B87">
      <w:pPr>
        <w:spacing w:before="120" w:after="120"/>
        <w:jc w:val="both"/>
        <w:rPr>
          <w:b/>
        </w:rPr>
      </w:pPr>
      <w:r>
        <w:rPr>
          <w:b/>
        </w:rPr>
        <w:t>Finanční objem vypočtený dle dále popsaných mechanismů je východiskem pro stanovení maximální výše finančních prostředků poskytnutých na sociální služby na příslušný rok, na který se vypočítává. Vyrovnávací platba se poskytuje na základě a</w:t>
      </w:r>
      <w:r>
        <w:t> </w:t>
      </w:r>
      <w:r>
        <w:rPr>
          <w:b/>
        </w:rPr>
        <w:t>v rozsahu pověření k výkonu SGEI.</w:t>
      </w:r>
    </w:p>
    <w:p w14:paraId="3A5ED145" w14:textId="77777777" w:rsidR="00475554" w:rsidRDefault="00157B87">
      <w:pPr>
        <w:spacing w:before="120" w:after="120"/>
        <w:jc w:val="both"/>
      </w:pPr>
      <w:r>
        <w:t>Východiskem pro nastavení vyrovnávací platby je rozdíl mezi obvyklými náklady sociální služby (bod 4.2 tohoto dokumentu) a obvyklými výnosy sociální služby (bod 4.3 tohoto dokumentu).</w:t>
      </w:r>
    </w:p>
    <w:p w14:paraId="628F0ED8" w14:textId="62B1DE6D" w:rsidR="00475554" w:rsidRDefault="00157B87">
      <w:pPr>
        <w:pStyle w:val="Odstavecseseznamem"/>
        <w:spacing w:before="120" w:after="120"/>
        <w:ind w:left="0"/>
        <w:contextualSpacing w:val="0"/>
        <w:jc w:val="both"/>
        <w:rPr>
          <w:rFonts w:ascii="Calibri" w:hAnsi="Calibri" w:cs="Calibri"/>
          <w:color w:val="000000"/>
        </w:rPr>
      </w:pPr>
      <w:r>
        <w:rPr>
          <w:b/>
        </w:rPr>
        <w:t>Vyrovnávací platba se</w:t>
      </w:r>
      <w:r>
        <w:rPr>
          <w:rFonts w:ascii="Calibri" w:hAnsi="Calibri" w:cs="Calibri"/>
          <w:b/>
          <w:bCs/>
          <w:color w:val="000000"/>
        </w:rPr>
        <w:t xml:space="preserve"> </w:t>
      </w:r>
      <w:r w:rsidR="001D51D0">
        <w:rPr>
          <w:rFonts w:ascii="Calibri" w:hAnsi="Calibri" w:cs="Calibri"/>
          <w:b/>
          <w:bCs/>
          <w:color w:val="000000"/>
        </w:rPr>
        <w:t>stanov</w:t>
      </w:r>
      <w:r w:rsidR="00BC7262">
        <w:rPr>
          <w:rFonts w:ascii="Calibri" w:hAnsi="Calibri" w:cs="Calibri"/>
          <w:b/>
          <w:bCs/>
          <w:color w:val="000000"/>
        </w:rPr>
        <w:t>uje</w:t>
      </w:r>
      <w:r w:rsidR="001D51D0">
        <w:rPr>
          <w:rFonts w:ascii="Calibri" w:hAnsi="Calibri" w:cs="Calibri"/>
          <w:b/>
          <w:bCs/>
          <w:color w:val="000000"/>
        </w:rPr>
        <w:t xml:space="preserve"> </w:t>
      </w:r>
      <w:r>
        <w:rPr>
          <w:rFonts w:ascii="Calibri" w:hAnsi="Calibri" w:cs="Calibri"/>
          <w:b/>
          <w:bCs/>
          <w:color w:val="000000"/>
        </w:rPr>
        <w:t>na počet jednotek sociální služby</w:t>
      </w:r>
      <w:r>
        <w:rPr>
          <w:rFonts w:ascii="Calibri" w:hAnsi="Calibri" w:cs="Calibri"/>
          <w:bCs/>
          <w:color w:val="000000"/>
        </w:rPr>
        <w:t>,</w:t>
      </w:r>
      <w:r>
        <w:rPr>
          <w:rFonts w:ascii="Calibri" w:hAnsi="Calibri" w:cs="Calibri"/>
          <w:color w:val="000000"/>
        </w:rPr>
        <w:t xml:space="preserve"> který nemůže být vyšší, než je kapacita konkrétní sociální služby pro daný rok uvedená v Základní síti nebo Dočasné síti Akčního plánu pro daný rok.</w:t>
      </w:r>
    </w:p>
    <w:p w14:paraId="253958F3" w14:textId="73E0F3F3" w:rsidR="00475554" w:rsidRDefault="00157B87">
      <w:pPr>
        <w:spacing w:before="120" w:after="120"/>
        <w:jc w:val="both"/>
      </w:pPr>
      <w:r>
        <w:rPr>
          <w:b/>
        </w:rPr>
        <w:lastRenderedPageBreak/>
        <w:t>Vyrovnávací platba se stanovuje pro každý druh sociální služby individuálně.</w:t>
      </w:r>
      <w:r>
        <w:t xml:space="preserve"> V zájmu vyloučení nadměrných plateb poskytovatelům sociálních služeb jsou na základě analýzy stanoveny předpokládané podíly veřejných zdrojů</w:t>
      </w:r>
      <w:r w:rsidR="00A068C1">
        <w:t xml:space="preserve">. </w:t>
      </w:r>
      <w:r w:rsidR="00707EBF">
        <w:t>V rámci vyrovnávací platby</w:t>
      </w:r>
      <w:r w:rsidR="00812679">
        <w:t xml:space="preserve"> </w:t>
      </w:r>
      <w:r w:rsidR="00B2796F">
        <w:t>se s</w:t>
      </w:r>
      <w:r w:rsidR="004A20D2">
        <w:t> </w:t>
      </w:r>
      <w:r w:rsidR="00EE3874">
        <w:t>veřejn</w:t>
      </w:r>
      <w:r w:rsidR="004A20D2">
        <w:t>ými</w:t>
      </w:r>
      <w:r w:rsidR="00EE3874">
        <w:t xml:space="preserve"> zdroj</w:t>
      </w:r>
      <w:r w:rsidR="004A20D2">
        <w:t>i</w:t>
      </w:r>
      <w:r w:rsidR="00EE3874">
        <w:t xml:space="preserve"> (např. </w:t>
      </w:r>
      <w:r>
        <w:t>státní rozpoč</w:t>
      </w:r>
      <w:r w:rsidR="00C209FC">
        <w:t>et</w:t>
      </w:r>
      <w:r>
        <w:t>, rozpoč</w:t>
      </w:r>
      <w:r w:rsidR="00C209FC">
        <w:t>et</w:t>
      </w:r>
      <w:r>
        <w:t xml:space="preserve"> Zlínského kraje, rozpočt</w:t>
      </w:r>
      <w:r w:rsidR="00C209FC">
        <w:t>y</w:t>
      </w:r>
      <w:r>
        <w:t xml:space="preserve"> ostatních krajů, rozpočt</w:t>
      </w:r>
      <w:r w:rsidR="00C07CAE">
        <w:t>y</w:t>
      </w:r>
      <w:r>
        <w:t xml:space="preserve"> obcí, Úřadu vlády, ostatních ministerstev a Evropských zdrojů</w:t>
      </w:r>
      <w:r w:rsidR="00C07CAE">
        <w:t>)</w:t>
      </w:r>
      <w:r>
        <w:t>, které se na financování sociálních služeb podílí</w:t>
      </w:r>
      <w:r w:rsidR="004A20D2">
        <w:t>, pracuje</w:t>
      </w:r>
      <w:r w:rsidR="007374CB">
        <w:t xml:space="preserve"> </w:t>
      </w:r>
      <w:r w:rsidR="00BE3F72">
        <w:t>dle modelu náklady = zdroje</w:t>
      </w:r>
      <w:r>
        <w:t>.</w:t>
      </w:r>
    </w:p>
    <w:p w14:paraId="24162C02" w14:textId="0E46D9DD" w:rsidR="00475554" w:rsidRDefault="00157B87">
      <w:pPr>
        <w:spacing w:before="120" w:after="120"/>
        <w:jc w:val="both"/>
      </w:pPr>
      <w:r>
        <w:t>Předpokládaný podíl územních samosprávných celků (tj. Zlínský kraj a obce) na financování sociálních služeb ve Zlínském kraji je stanoven v dalších částech dokumentu, pro každý druh sociální služby samostatně</w:t>
      </w:r>
      <w:r w:rsidR="003457B0">
        <w:t>.</w:t>
      </w:r>
      <w:r w:rsidR="00793FE2">
        <w:t xml:space="preserve"> </w:t>
      </w:r>
      <w:r w:rsidR="00452296">
        <w:t xml:space="preserve">Podíl financování </w:t>
      </w:r>
      <w:r w:rsidR="00793FE2">
        <w:t xml:space="preserve">Zlínského kraje a obcí </w:t>
      </w:r>
      <w:r w:rsidR="008818F6">
        <w:t xml:space="preserve">na obvyklých nákladech </w:t>
      </w:r>
      <w:r w:rsidR="00793FE2">
        <w:t xml:space="preserve">je stanoven jako optimální, nikoli maximální a </w:t>
      </w:r>
      <w:r w:rsidR="00452296">
        <w:t>může být překročen</w:t>
      </w:r>
      <w:r w:rsidR="00793FE2">
        <w:t>.</w:t>
      </w:r>
      <w:r w:rsidR="005908BD">
        <w:t xml:space="preserve"> </w:t>
      </w:r>
      <w:r w:rsidR="009621F0" w:rsidRPr="00474964">
        <w:t>U sociálních služeb, které budou bonifikovány v Programech kraje s ohledem na náročnost péče, je predikována vyšší spoluúčast ÚSC (obce i kraj) v souladu s nastavenými procesy bonifikace.</w:t>
      </w:r>
      <w:r w:rsidR="009621F0">
        <w:t xml:space="preserve"> </w:t>
      </w:r>
      <w:r>
        <w:t>Finanční podporu stanovenou na základě výpočtu vyrovnávací platby nelze použít na úhradu nákladů souvisejících s formou poskytování sociální služby, která není uvedena v Základní síti nebo Dočasné síti Akčního plánu pro daný rok.</w:t>
      </w:r>
    </w:p>
    <w:p w14:paraId="01A31861" w14:textId="77777777" w:rsidR="00475554" w:rsidRDefault="00475554">
      <w:pPr>
        <w:pStyle w:val="Odstavecseseznamem"/>
        <w:spacing w:before="120" w:after="120"/>
        <w:ind w:left="0"/>
        <w:contextualSpacing w:val="0"/>
        <w:jc w:val="both"/>
      </w:pPr>
    </w:p>
    <w:p w14:paraId="68EAF7EF" w14:textId="77777777" w:rsidR="00475554" w:rsidRDefault="00157B87">
      <w:pPr>
        <w:pStyle w:val="Nadpis2"/>
        <w:spacing w:before="120" w:after="120"/>
        <w:ind w:left="709" w:hanging="709"/>
        <w:jc w:val="both"/>
        <w:rPr>
          <w:rFonts w:ascii="Calibri" w:hAnsi="Calibri"/>
          <w:sz w:val="28"/>
          <w:szCs w:val="28"/>
        </w:rPr>
      </w:pPr>
      <w:bookmarkStart w:id="47" w:name="_Toc230777914"/>
      <w:r>
        <w:rPr>
          <w:rFonts w:ascii="Calibri" w:hAnsi="Calibri"/>
          <w:sz w:val="28"/>
          <w:szCs w:val="28"/>
        </w:rPr>
        <w:t>Kritéria poskytování vyrovnávací platby</w:t>
      </w:r>
      <w:bookmarkEnd w:id="47"/>
      <w:r>
        <w:rPr>
          <w:rFonts w:ascii="Calibri" w:hAnsi="Calibri"/>
          <w:sz w:val="28"/>
          <w:szCs w:val="28"/>
        </w:rPr>
        <w:t xml:space="preserve"> </w:t>
      </w:r>
    </w:p>
    <w:p w14:paraId="19367C98" w14:textId="77777777" w:rsidR="00475554" w:rsidRDefault="00475554">
      <w:pPr>
        <w:autoSpaceDE w:val="0"/>
        <w:autoSpaceDN w:val="0"/>
        <w:adjustRightInd w:val="0"/>
        <w:spacing w:before="120" w:after="120"/>
        <w:jc w:val="both"/>
      </w:pPr>
    </w:p>
    <w:p w14:paraId="5A56A052" w14:textId="1E1FDC82" w:rsidR="00475554" w:rsidRDefault="00157B87">
      <w:pPr>
        <w:autoSpaceDE w:val="0"/>
        <w:autoSpaceDN w:val="0"/>
        <w:adjustRightInd w:val="0"/>
        <w:spacing w:before="120" w:after="120"/>
        <w:jc w:val="both"/>
      </w:pPr>
      <w:r>
        <w:t>Kritéria poskytování vyrovnávací platby představují indikátory stanovené pro každý jednotlivý druh sociální služby. Indikátor je výkonovým měřítkem sociální služby, k jehož zajištění bude poskytovatel sociálních služeb smluvně zavázán.</w:t>
      </w:r>
    </w:p>
    <w:p w14:paraId="4851401B" w14:textId="354C8747" w:rsidR="00475554" w:rsidRDefault="00157B87">
      <w:pPr>
        <w:autoSpaceDE w:val="0"/>
        <w:autoSpaceDN w:val="0"/>
        <w:adjustRightInd w:val="0"/>
        <w:spacing w:before="120" w:after="120"/>
        <w:jc w:val="both"/>
      </w:pPr>
      <w:r>
        <w:t xml:space="preserve">Konkrétní indikátor/y pro daný druh sociální služby bude/ou </w:t>
      </w:r>
      <w:r w:rsidRPr="00F635D4">
        <w:t>součástí příslušných Programů.</w:t>
      </w:r>
      <w:r w:rsidR="00AA7124" w:rsidRPr="00F635D4">
        <w:t xml:space="preserve"> V případě, že je ve více Programech Zlínského kraje nastaven stejný indikátor pro danou kapacitu služby, nedochází k rozdělování indikátoru vůči jednotlivým Programům, ale dalším zdrojem financování se pouze přistupuje k již zazávazkované výši daného </w:t>
      </w:r>
      <w:r w:rsidR="000C21B2" w:rsidRPr="00F635D4">
        <w:t>indikátoru</w:t>
      </w:r>
      <w:r w:rsidR="00AA7124" w:rsidRPr="00F635D4">
        <w:t>.</w:t>
      </w:r>
    </w:p>
    <w:p w14:paraId="70152F3C" w14:textId="77777777" w:rsidR="00475554" w:rsidRDefault="00157B87">
      <w:pPr>
        <w:autoSpaceDE w:val="0"/>
        <w:autoSpaceDN w:val="0"/>
        <w:adjustRightInd w:val="0"/>
        <w:spacing w:before="120" w:after="120"/>
        <w:jc w:val="both"/>
        <w:rPr>
          <w:b/>
        </w:rPr>
      </w:pPr>
      <w:r>
        <w:rPr>
          <w:b/>
        </w:rPr>
        <w:t>Indikátorem může být např.:</w:t>
      </w:r>
    </w:p>
    <w:p w14:paraId="77C2126B" w14:textId="77777777" w:rsidR="00475554" w:rsidRDefault="00157B87">
      <w:pPr>
        <w:pStyle w:val="Odstavecseseznamem"/>
        <w:numPr>
          <w:ilvl w:val="0"/>
          <w:numId w:val="21"/>
        </w:numPr>
        <w:autoSpaceDE w:val="0"/>
        <w:autoSpaceDN w:val="0"/>
        <w:adjustRightInd w:val="0"/>
        <w:spacing w:before="120" w:after="120"/>
        <w:ind w:left="426" w:hanging="426"/>
        <w:contextualSpacing w:val="0"/>
        <w:jc w:val="both"/>
      </w:pPr>
      <w:r>
        <w:t>Počet lůžkodnů/rok</w:t>
      </w:r>
    </w:p>
    <w:p w14:paraId="6B499C5D" w14:textId="7FCBD330" w:rsidR="00475554" w:rsidRDefault="00157B87">
      <w:pPr>
        <w:pStyle w:val="Odstavecseseznamem"/>
        <w:numPr>
          <w:ilvl w:val="0"/>
          <w:numId w:val="21"/>
        </w:numPr>
        <w:autoSpaceDE w:val="0"/>
        <w:autoSpaceDN w:val="0"/>
        <w:adjustRightInd w:val="0"/>
        <w:spacing w:before="120" w:after="120"/>
        <w:ind w:left="426" w:hanging="426"/>
        <w:contextualSpacing w:val="0"/>
        <w:jc w:val="both"/>
      </w:pPr>
      <w:r>
        <w:t>Počet hodin přímé péče na průměrný přepočtený úvazek pracovníka v přímé péči/rok</w:t>
      </w:r>
    </w:p>
    <w:p w14:paraId="054290A2" w14:textId="4B3D944A" w:rsidR="00CF2F46" w:rsidRDefault="00CF2F46">
      <w:pPr>
        <w:pStyle w:val="Odstavecseseznamem"/>
        <w:numPr>
          <w:ilvl w:val="0"/>
          <w:numId w:val="21"/>
        </w:numPr>
        <w:autoSpaceDE w:val="0"/>
        <w:autoSpaceDN w:val="0"/>
        <w:adjustRightInd w:val="0"/>
        <w:spacing w:before="120" w:after="120"/>
        <w:ind w:left="426" w:hanging="426"/>
        <w:contextualSpacing w:val="0"/>
        <w:jc w:val="both"/>
      </w:pPr>
      <w:r w:rsidRPr="00423EB2">
        <w:rPr>
          <w:highlight w:val="yellow"/>
        </w:rPr>
        <w:t>Počet hodin přímé práce na průměrný přepočtený úvazek pracovníka v přímé péči/rok</w:t>
      </w:r>
    </w:p>
    <w:p w14:paraId="0200819E" w14:textId="77777777" w:rsidR="00475554" w:rsidRDefault="00157B87">
      <w:pPr>
        <w:pStyle w:val="Odstavecseseznamem"/>
        <w:numPr>
          <w:ilvl w:val="0"/>
          <w:numId w:val="21"/>
        </w:numPr>
        <w:autoSpaceDE w:val="0"/>
        <w:autoSpaceDN w:val="0"/>
        <w:adjustRightInd w:val="0"/>
        <w:spacing w:before="120" w:after="120"/>
        <w:ind w:left="426" w:hanging="426"/>
        <w:contextualSpacing w:val="0"/>
        <w:jc w:val="both"/>
      </w:pPr>
      <w:r>
        <w:t>Počet hodin přímé péče včetně cesty na průměrný přepočtený úvazek pracovníka v přímé péči/rok</w:t>
      </w:r>
    </w:p>
    <w:p w14:paraId="6879382D" w14:textId="77777777" w:rsidR="00475554" w:rsidRDefault="00157B87">
      <w:pPr>
        <w:pStyle w:val="Odstavecseseznamem"/>
        <w:numPr>
          <w:ilvl w:val="0"/>
          <w:numId w:val="21"/>
        </w:numPr>
        <w:autoSpaceDE w:val="0"/>
        <w:autoSpaceDN w:val="0"/>
        <w:adjustRightInd w:val="0"/>
        <w:spacing w:before="120" w:after="120"/>
        <w:ind w:left="426" w:hanging="426"/>
        <w:contextualSpacing w:val="0"/>
        <w:jc w:val="both"/>
      </w:pPr>
      <w:r>
        <w:t>Počet hodin poskytnutých intervencí na průměrný přepočtený úvazek pracovníka v přímé péči/rok</w:t>
      </w:r>
    </w:p>
    <w:p w14:paraId="0D6D15E2" w14:textId="5D5601DE" w:rsidR="005908BD" w:rsidRDefault="005908BD">
      <w:pPr>
        <w:pStyle w:val="Odstavecseseznamem"/>
        <w:numPr>
          <w:ilvl w:val="0"/>
          <w:numId w:val="21"/>
        </w:numPr>
        <w:autoSpaceDE w:val="0"/>
        <w:autoSpaceDN w:val="0"/>
        <w:adjustRightInd w:val="0"/>
        <w:spacing w:before="120" w:after="120"/>
        <w:ind w:left="426" w:hanging="426"/>
        <w:contextualSpacing w:val="0"/>
        <w:jc w:val="both"/>
      </w:pPr>
      <w:r>
        <w:t xml:space="preserve">Počet hodin přímé péče při </w:t>
      </w:r>
      <w:r w:rsidR="007700D3">
        <w:t>(</w:t>
      </w:r>
      <w:r>
        <w:t>vybraných</w:t>
      </w:r>
      <w:r w:rsidR="007700D3">
        <w:t>)</w:t>
      </w:r>
      <w:r>
        <w:t xml:space="preserve"> základních činnostech účtovaných hodinovou sazbou na průměrný přepočtený úvazek pracovníka v přímé péči/rok</w:t>
      </w:r>
    </w:p>
    <w:p w14:paraId="2B184701" w14:textId="6F40EF85" w:rsidR="007A1B68" w:rsidRDefault="007A1B68">
      <w:pPr>
        <w:pStyle w:val="Odstavecseseznamem"/>
        <w:numPr>
          <w:ilvl w:val="0"/>
          <w:numId w:val="21"/>
        </w:numPr>
        <w:autoSpaceDE w:val="0"/>
        <w:autoSpaceDN w:val="0"/>
        <w:adjustRightInd w:val="0"/>
        <w:spacing w:before="120" w:after="120"/>
        <w:ind w:left="426" w:hanging="426"/>
        <w:contextualSpacing w:val="0"/>
        <w:jc w:val="both"/>
      </w:pPr>
      <w:r w:rsidRPr="00423EB2">
        <w:rPr>
          <w:highlight w:val="yellow"/>
        </w:rPr>
        <w:t>Počet podpořených úvazků pracovníků v přímé péči</w:t>
      </w:r>
    </w:p>
    <w:p w14:paraId="214D19DD" w14:textId="39DEDB5D" w:rsidR="00373FB1" w:rsidRDefault="005908BD">
      <w:pPr>
        <w:pStyle w:val="Odstavecseseznamem"/>
        <w:numPr>
          <w:ilvl w:val="0"/>
          <w:numId w:val="21"/>
        </w:numPr>
        <w:autoSpaceDE w:val="0"/>
        <w:autoSpaceDN w:val="0"/>
        <w:adjustRightInd w:val="0"/>
        <w:spacing w:before="120" w:after="120"/>
        <w:ind w:left="426" w:hanging="426"/>
        <w:contextualSpacing w:val="0"/>
        <w:jc w:val="both"/>
      </w:pPr>
      <w:r>
        <w:t>Závazek sociální služby</w:t>
      </w:r>
      <w:r w:rsidR="00CF2F46">
        <w:t xml:space="preserve"> </w:t>
      </w:r>
    </w:p>
    <w:p w14:paraId="7C3576E7" w14:textId="77777777" w:rsidR="00373FB1" w:rsidRDefault="00373FB1">
      <w:r>
        <w:br w:type="page"/>
      </w:r>
    </w:p>
    <w:p w14:paraId="03730EBE" w14:textId="77777777" w:rsidR="00475554" w:rsidRDefault="00157B87">
      <w:pPr>
        <w:pStyle w:val="Nadpis1"/>
        <w:spacing w:before="120" w:after="120"/>
        <w:ind w:left="709" w:hanging="709"/>
        <w:jc w:val="both"/>
        <w:rPr>
          <w:rFonts w:asciiTheme="minorHAnsi" w:hAnsiTheme="minorHAnsi"/>
          <w:spacing w:val="-6"/>
          <w:sz w:val="32"/>
          <w:szCs w:val="32"/>
        </w:rPr>
      </w:pPr>
      <w:bookmarkStart w:id="48" w:name="_Toc386625205"/>
      <w:bookmarkStart w:id="49" w:name="_Toc386625349"/>
      <w:bookmarkStart w:id="50" w:name="_Ref382943059"/>
      <w:bookmarkStart w:id="51" w:name="_Toc386625350"/>
      <w:bookmarkStart w:id="52" w:name="_Toc385925697"/>
      <w:bookmarkStart w:id="53" w:name="_Toc230777915"/>
      <w:bookmarkEnd w:id="48"/>
      <w:bookmarkEnd w:id="49"/>
      <w:r>
        <w:rPr>
          <w:rFonts w:asciiTheme="minorHAnsi" w:hAnsiTheme="minorHAnsi"/>
          <w:spacing w:val="-6"/>
          <w:sz w:val="32"/>
          <w:szCs w:val="32"/>
        </w:rPr>
        <w:lastRenderedPageBreak/>
        <w:t>Mechanismus stanovení vyrovnávací platby</w:t>
      </w:r>
      <w:bookmarkStart w:id="54" w:name="_Toc386625351"/>
      <w:bookmarkStart w:id="55" w:name="_Toc385925698"/>
      <w:bookmarkEnd w:id="50"/>
      <w:bookmarkEnd w:id="51"/>
      <w:bookmarkEnd w:id="52"/>
      <w:bookmarkEnd w:id="53"/>
    </w:p>
    <w:p w14:paraId="70094DA9" w14:textId="77777777" w:rsidR="00475554" w:rsidRDefault="00475554"/>
    <w:p w14:paraId="2FF546E7" w14:textId="77777777" w:rsidR="00475554" w:rsidRDefault="00157B87">
      <w:pPr>
        <w:pStyle w:val="Nadpis2"/>
        <w:spacing w:before="120" w:after="120"/>
        <w:ind w:left="709" w:hanging="709"/>
        <w:jc w:val="both"/>
        <w:rPr>
          <w:rFonts w:ascii="Calibri" w:hAnsi="Calibri"/>
          <w:sz w:val="28"/>
          <w:szCs w:val="28"/>
        </w:rPr>
      </w:pPr>
      <w:bookmarkStart w:id="56" w:name="_Toc230777916"/>
      <w:r>
        <w:rPr>
          <w:rFonts w:ascii="Calibri" w:hAnsi="Calibri"/>
          <w:sz w:val="28"/>
          <w:szCs w:val="28"/>
        </w:rPr>
        <w:t>Pobytové sociální služby</w:t>
      </w:r>
      <w:bookmarkEnd w:id="54"/>
      <w:bookmarkEnd w:id="55"/>
      <w:bookmarkEnd w:id="56"/>
    </w:p>
    <w:p w14:paraId="6FADE528" w14:textId="77777777" w:rsidR="00475554" w:rsidRDefault="00475554">
      <w:pPr>
        <w:spacing w:before="120" w:after="120"/>
        <w:jc w:val="both"/>
      </w:pPr>
    </w:p>
    <w:p w14:paraId="7D3D162E" w14:textId="632B431E" w:rsidR="00475554" w:rsidRDefault="00157B87">
      <w:pPr>
        <w:spacing w:before="120" w:after="120"/>
        <w:jc w:val="both"/>
      </w:pPr>
      <w:r>
        <w:t xml:space="preserve">Ve smyslu </w:t>
      </w:r>
      <w:r w:rsidR="00077C41">
        <w:t xml:space="preserve">§ 33 odst. 2 </w:t>
      </w:r>
      <w:r>
        <w:t xml:space="preserve">zákona </w:t>
      </w:r>
      <w:r w:rsidR="00077C41">
        <w:t>č. 108/2006 Sb.</w:t>
      </w:r>
      <w:r>
        <w:t xml:space="preserve"> se pobytovými službami sociální péče a sociální prevence rozumí služby spojené s ubytováním v zařízeních sociálních služeb.</w:t>
      </w:r>
    </w:p>
    <w:p w14:paraId="2B88DD38" w14:textId="77777777" w:rsidR="00475554" w:rsidRDefault="00475554">
      <w:pPr>
        <w:spacing w:before="120" w:after="120"/>
        <w:jc w:val="both"/>
      </w:pPr>
    </w:p>
    <w:p w14:paraId="3C9B8695" w14:textId="77777777" w:rsidR="00475554" w:rsidRDefault="00157B87">
      <w:pPr>
        <w:spacing w:before="120" w:after="120"/>
        <w:jc w:val="both"/>
        <w:rPr>
          <w:b/>
        </w:rPr>
      </w:pPr>
      <w:r>
        <w:rPr>
          <w:b/>
        </w:rPr>
        <w:t>Pobytové služby sociální péče zahrnují následující druhy sociálních služeb:</w:t>
      </w:r>
    </w:p>
    <w:p w14:paraId="3586E8C8" w14:textId="77777777" w:rsidR="00475554" w:rsidRPr="00A87C7B" w:rsidRDefault="00157B87">
      <w:pPr>
        <w:pStyle w:val="Odstavecseseznamem"/>
        <w:numPr>
          <w:ilvl w:val="0"/>
          <w:numId w:val="5"/>
        </w:numPr>
        <w:spacing w:before="120" w:after="120"/>
        <w:ind w:left="426" w:hanging="426"/>
        <w:contextualSpacing w:val="0"/>
        <w:jc w:val="both"/>
      </w:pPr>
      <w:r w:rsidRPr="00A87C7B">
        <w:t>Domovy pro osoby se zdravotním postižením</w:t>
      </w:r>
    </w:p>
    <w:p w14:paraId="139D14A7" w14:textId="77777777" w:rsidR="00475554" w:rsidRPr="00A87C7B" w:rsidRDefault="00157B87">
      <w:pPr>
        <w:pStyle w:val="Odstavecseseznamem"/>
        <w:numPr>
          <w:ilvl w:val="0"/>
          <w:numId w:val="5"/>
        </w:numPr>
        <w:spacing w:before="120" w:after="120"/>
        <w:ind w:left="426" w:hanging="426"/>
        <w:contextualSpacing w:val="0"/>
        <w:jc w:val="both"/>
      </w:pPr>
      <w:r w:rsidRPr="00A87C7B">
        <w:t>Domovy pro seniory</w:t>
      </w:r>
    </w:p>
    <w:p w14:paraId="0C2E15E6" w14:textId="77777777" w:rsidR="00475554" w:rsidRPr="00A87C7B" w:rsidRDefault="00157B87">
      <w:pPr>
        <w:pStyle w:val="Odstavecseseznamem"/>
        <w:numPr>
          <w:ilvl w:val="0"/>
          <w:numId w:val="5"/>
        </w:numPr>
        <w:spacing w:before="120" w:after="120"/>
        <w:ind w:left="426" w:hanging="426"/>
        <w:contextualSpacing w:val="0"/>
        <w:jc w:val="both"/>
      </w:pPr>
      <w:r w:rsidRPr="00A87C7B">
        <w:t>Domovy se zvláštním režimem</w:t>
      </w:r>
    </w:p>
    <w:p w14:paraId="5F0ADA1E" w14:textId="77777777" w:rsidR="00475554" w:rsidRPr="00A87C7B" w:rsidRDefault="00157B87">
      <w:pPr>
        <w:pStyle w:val="Odstavecseseznamem"/>
        <w:numPr>
          <w:ilvl w:val="0"/>
          <w:numId w:val="5"/>
        </w:numPr>
        <w:spacing w:before="120" w:after="120"/>
        <w:ind w:left="426" w:hanging="426"/>
        <w:contextualSpacing w:val="0"/>
        <w:jc w:val="both"/>
      </w:pPr>
      <w:r w:rsidRPr="00A87C7B">
        <w:t>Chráněné bydlení</w:t>
      </w:r>
    </w:p>
    <w:p w14:paraId="3E5E8844" w14:textId="77777777" w:rsidR="00475554" w:rsidRPr="00A87C7B" w:rsidRDefault="00157B87">
      <w:pPr>
        <w:pStyle w:val="Odstavecseseznamem"/>
        <w:numPr>
          <w:ilvl w:val="0"/>
          <w:numId w:val="5"/>
        </w:numPr>
        <w:spacing w:before="120" w:after="120"/>
        <w:ind w:left="426" w:hanging="426"/>
        <w:contextualSpacing w:val="0"/>
        <w:jc w:val="both"/>
      </w:pPr>
      <w:r w:rsidRPr="00A87C7B">
        <w:t>Odlehčovací služby</w:t>
      </w:r>
    </w:p>
    <w:p w14:paraId="4B9E6A99" w14:textId="77777777" w:rsidR="00475554" w:rsidRPr="00A87C7B" w:rsidRDefault="00157B87">
      <w:pPr>
        <w:pStyle w:val="Odstavecseseznamem"/>
        <w:numPr>
          <w:ilvl w:val="0"/>
          <w:numId w:val="5"/>
        </w:numPr>
        <w:spacing w:before="120" w:after="120"/>
        <w:ind w:left="426" w:hanging="426"/>
        <w:contextualSpacing w:val="0"/>
        <w:jc w:val="both"/>
      </w:pPr>
      <w:r w:rsidRPr="00A87C7B">
        <w:t>Sociální služby poskytované ve zdravotnických zařízeních lůžkové péče</w:t>
      </w:r>
    </w:p>
    <w:p w14:paraId="176C5DE1" w14:textId="77777777" w:rsidR="00475554" w:rsidRPr="00A87C7B" w:rsidRDefault="00157B87">
      <w:pPr>
        <w:pStyle w:val="Odstavecseseznamem"/>
        <w:numPr>
          <w:ilvl w:val="0"/>
          <w:numId w:val="5"/>
        </w:numPr>
        <w:spacing w:before="120" w:after="120"/>
        <w:ind w:left="425" w:hanging="425"/>
        <w:contextualSpacing w:val="0"/>
        <w:jc w:val="both"/>
      </w:pPr>
      <w:r w:rsidRPr="00A87C7B">
        <w:t>Týdenní stacionáře</w:t>
      </w:r>
    </w:p>
    <w:p w14:paraId="335A429A" w14:textId="77777777" w:rsidR="00475554" w:rsidRPr="00A87C7B" w:rsidRDefault="00475554">
      <w:pPr>
        <w:spacing w:before="120" w:after="120"/>
        <w:jc w:val="both"/>
      </w:pPr>
    </w:p>
    <w:p w14:paraId="28B9DAD3" w14:textId="77777777" w:rsidR="00475554" w:rsidRPr="00A87C7B" w:rsidRDefault="00157B87">
      <w:pPr>
        <w:spacing w:before="120" w:after="120"/>
        <w:ind w:hanging="11"/>
        <w:jc w:val="both"/>
        <w:rPr>
          <w:b/>
        </w:rPr>
      </w:pPr>
      <w:r w:rsidRPr="00A87C7B">
        <w:rPr>
          <w:b/>
        </w:rPr>
        <w:t>Pobytové služby sociální prevence zahrnují následující druhy sociálních služeb:</w:t>
      </w:r>
    </w:p>
    <w:p w14:paraId="7D0C9210" w14:textId="77777777" w:rsidR="00475554" w:rsidRPr="00A87C7B" w:rsidRDefault="00157B87">
      <w:pPr>
        <w:pStyle w:val="Odstavecseseznamem"/>
        <w:numPr>
          <w:ilvl w:val="0"/>
          <w:numId w:val="5"/>
        </w:numPr>
        <w:spacing w:before="120" w:after="120"/>
        <w:ind w:left="426" w:hanging="426"/>
        <w:contextualSpacing w:val="0"/>
        <w:jc w:val="both"/>
        <w:rPr>
          <w:rFonts w:cs="Arial"/>
        </w:rPr>
      </w:pPr>
      <w:r w:rsidRPr="00A87C7B">
        <w:rPr>
          <w:rFonts w:cs="Arial"/>
        </w:rPr>
        <w:t>Azylové domy</w:t>
      </w:r>
    </w:p>
    <w:p w14:paraId="664C5F9A" w14:textId="77777777" w:rsidR="00475554" w:rsidRPr="00A87C7B" w:rsidRDefault="00157B87">
      <w:pPr>
        <w:pStyle w:val="Odstavecseseznamem"/>
        <w:numPr>
          <w:ilvl w:val="0"/>
          <w:numId w:val="5"/>
        </w:numPr>
        <w:spacing w:before="120" w:after="120"/>
        <w:ind w:left="426" w:hanging="426"/>
        <w:contextualSpacing w:val="0"/>
        <w:jc w:val="both"/>
        <w:rPr>
          <w:rFonts w:cs="Arial"/>
        </w:rPr>
      </w:pPr>
      <w:r w:rsidRPr="00A87C7B">
        <w:rPr>
          <w:rFonts w:cs="Arial"/>
        </w:rPr>
        <w:t>Domy na půl cesty</w:t>
      </w:r>
    </w:p>
    <w:p w14:paraId="1AFC9773" w14:textId="77777777" w:rsidR="00475554" w:rsidRPr="00A87C7B" w:rsidRDefault="00157B87">
      <w:pPr>
        <w:pStyle w:val="Odstavecseseznamem"/>
        <w:numPr>
          <w:ilvl w:val="0"/>
          <w:numId w:val="5"/>
        </w:numPr>
        <w:spacing w:before="120" w:after="120"/>
        <w:ind w:left="426" w:hanging="426"/>
        <w:contextualSpacing w:val="0"/>
        <w:jc w:val="both"/>
        <w:rPr>
          <w:rFonts w:cs="Arial"/>
        </w:rPr>
      </w:pPr>
      <w:r w:rsidRPr="00A87C7B">
        <w:t>Intervenční centra</w:t>
      </w:r>
    </w:p>
    <w:p w14:paraId="674ADDF5" w14:textId="77777777" w:rsidR="00475554" w:rsidRPr="00A87C7B" w:rsidRDefault="00157B87">
      <w:pPr>
        <w:pStyle w:val="Odstavecseseznamem"/>
        <w:numPr>
          <w:ilvl w:val="0"/>
          <w:numId w:val="5"/>
        </w:numPr>
        <w:spacing w:before="120" w:after="120"/>
        <w:ind w:left="426" w:hanging="426"/>
        <w:contextualSpacing w:val="0"/>
        <w:jc w:val="both"/>
        <w:rPr>
          <w:rFonts w:cs="Arial"/>
        </w:rPr>
      </w:pPr>
      <w:r w:rsidRPr="00A87C7B">
        <w:t>Krizová pomoc</w:t>
      </w:r>
    </w:p>
    <w:p w14:paraId="3E31EF46" w14:textId="77777777" w:rsidR="00475554" w:rsidRPr="00A87C7B" w:rsidRDefault="00157B87">
      <w:pPr>
        <w:pStyle w:val="Odstavecseseznamem"/>
        <w:numPr>
          <w:ilvl w:val="0"/>
          <w:numId w:val="5"/>
        </w:numPr>
        <w:spacing w:before="120" w:after="120"/>
        <w:ind w:left="426" w:hanging="426"/>
        <w:contextualSpacing w:val="0"/>
        <w:jc w:val="both"/>
        <w:rPr>
          <w:rFonts w:cs="Arial"/>
        </w:rPr>
      </w:pPr>
      <w:r w:rsidRPr="00A87C7B">
        <w:rPr>
          <w:rFonts w:cs="Arial"/>
        </w:rPr>
        <w:t>Služby následné péče</w:t>
      </w:r>
    </w:p>
    <w:p w14:paraId="1CB52028" w14:textId="77777777" w:rsidR="00475554" w:rsidRPr="00A87C7B" w:rsidRDefault="00157B87">
      <w:pPr>
        <w:pStyle w:val="Odstavecseseznamem"/>
        <w:numPr>
          <w:ilvl w:val="0"/>
          <w:numId w:val="5"/>
        </w:numPr>
        <w:spacing w:before="120" w:after="120"/>
        <w:ind w:left="426" w:hanging="426"/>
        <w:contextualSpacing w:val="0"/>
        <w:jc w:val="both"/>
        <w:rPr>
          <w:rFonts w:cs="Arial"/>
        </w:rPr>
      </w:pPr>
      <w:r w:rsidRPr="00A87C7B">
        <w:rPr>
          <w:rFonts w:cs="Arial"/>
        </w:rPr>
        <w:t>Sociální rehabilitace</w:t>
      </w:r>
    </w:p>
    <w:p w14:paraId="6B9F5C32" w14:textId="77777777" w:rsidR="00475554" w:rsidRPr="00A87C7B" w:rsidRDefault="00157B87">
      <w:pPr>
        <w:pStyle w:val="Odstavecseseznamem"/>
        <w:numPr>
          <w:ilvl w:val="0"/>
          <w:numId w:val="5"/>
        </w:numPr>
        <w:spacing w:before="120" w:after="120"/>
        <w:ind w:left="425" w:hanging="425"/>
        <w:contextualSpacing w:val="0"/>
        <w:jc w:val="both"/>
        <w:rPr>
          <w:rFonts w:cs="Arial"/>
        </w:rPr>
      </w:pPr>
      <w:r w:rsidRPr="00A87C7B">
        <w:rPr>
          <w:rFonts w:cs="Arial"/>
        </w:rPr>
        <w:t>Terapeutické komunity</w:t>
      </w:r>
    </w:p>
    <w:p w14:paraId="5BA0D6CF" w14:textId="77777777" w:rsidR="00475554" w:rsidRDefault="00475554">
      <w:pPr>
        <w:spacing w:before="120" w:after="120"/>
        <w:jc w:val="both"/>
        <w:rPr>
          <w:bCs/>
        </w:rPr>
      </w:pPr>
    </w:p>
    <w:p w14:paraId="445DABB9" w14:textId="77777777" w:rsidR="00475554" w:rsidRDefault="00157B87">
      <w:pPr>
        <w:spacing w:before="120" w:after="120"/>
        <w:jc w:val="both"/>
        <w:rPr>
          <w:b/>
        </w:rPr>
      </w:pPr>
      <w:r>
        <w:rPr>
          <w:b/>
        </w:rPr>
        <w:t>Pro pobytové služby sociální péče a sociální prevence je jako výchozí jednotka pro stanovení obvyklého ročního nákladu, obvyklého ročního výnosu a výše vyrovnávací platby zvoleno jedno lůžko.</w:t>
      </w:r>
    </w:p>
    <w:p w14:paraId="3C5C848A" w14:textId="77777777" w:rsidR="00475554" w:rsidRDefault="00475554">
      <w:pPr>
        <w:spacing w:before="120" w:after="120"/>
        <w:jc w:val="both"/>
      </w:pPr>
      <w:bookmarkStart w:id="57" w:name="_Ref381550260"/>
      <w:bookmarkStart w:id="58" w:name="_Toc386625352"/>
      <w:bookmarkStart w:id="59" w:name="_Toc385925699"/>
    </w:p>
    <w:p w14:paraId="44556E2F" w14:textId="77777777" w:rsidR="00475554" w:rsidRDefault="00475554">
      <w:pPr>
        <w:spacing w:before="120" w:after="120"/>
        <w:jc w:val="both"/>
      </w:pPr>
    </w:p>
    <w:p w14:paraId="406AE727" w14:textId="77777777" w:rsidR="00373FB1" w:rsidRDefault="00373FB1">
      <w:pPr>
        <w:spacing w:before="120" w:after="120"/>
        <w:jc w:val="both"/>
      </w:pPr>
    </w:p>
    <w:p w14:paraId="1C70E8ED" w14:textId="77777777" w:rsidR="00475554" w:rsidRDefault="00157B87">
      <w:pPr>
        <w:pStyle w:val="Nadpis3"/>
        <w:spacing w:before="120" w:after="120"/>
        <w:ind w:left="709" w:hanging="709"/>
        <w:jc w:val="both"/>
        <w:rPr>
          <w:rFonts w:ascii="Calibri" w:hAnsi="Calibri"/>
          <w:sz w:val="24"/>
          <w:szCs w:val="24"/>
        </w:rPr>
      </w:pPr>
      <w:bookmarkStart w:id="60" w:name="_Ref421210646"/>
      <w:bookmarkStart w:id="61" w:name="_Toc230777917"/>
      <w:r>
        <w:rPr>
          <w:rFonts w:ascii="Calibri" w:hAnsi="Calibri"/>
          <w:sz w:val="24"/>
          <w:szCs w:val="24"/>
        </w:rPr>
        <w:t>Obvyklé náklady pobytových sociálních služeb</w:t>
      </w:r>
      <w:bookmarkEnd w:id="57"/>
      <w:bookmarkEnd w:id="58"/>
      <w:bookmarkEnd w:id="59"/>
      <w:bookmarkEnd w:id="60"/>
      <w:bookmarkEnd w:id="61"/>
    </w:p>
    <w:p w14:paraId="32A49C7F" w14:textId="77777777" w:rsidR="00475554" w:rsidRDefault="00475554">
      <w:pPr>
        <w:spacing w:before="120" w:after="120"/>
        <w:jc w:val="both"/>
      </w:pPr>
    </w:p>
    <w:p w14:paraId="70148A27" w14:textId="77777777" w:rsidR="00475554" w:rsidRDefault="00157B87">
      <w:pPr>
        <w:spacing w:before="120" w:after="120"/>
        <w:jc w:val="both"/>
        <w:rPr>
          <w:spacing w:val="-4"/>
        </w:rPr>
      </w:pPr>
      <w:r>
        <w:lastRenderedPageBreak/>
        <w:t xml:space="preserve">Obvyklé náklady </w:t>
      </w:r>
      <w:r>
        <w:rPr>
          <w:b/>
          <w:bCs/>
        </w:rPr>
        <w:t>pobytových služeb sociální péče a sociální prevence</w:t>
      </w:r>
      <w:r>
        <w:t xml:space="preserve"> jsou kalkulovány dle principu uvedeného v bodě 4.2 tohoto dokumentu.</w:t>
      </w:r>
    </w:p>
    <w:p w14:paraId="5F04E816" w14:textId="77777777" w:rsidR="00475554" w:rsidRDefault="00157B87">
      <w:pPr>
        <w:spacing w:before="120" w:after="120"/>
        <w:jc w:val="both"/>
      </w:pPr>
      <w:r>
        <w:t>Kapacita pobytové sociální služby je pro účely stanovení vyrovnávací platby definována počtem lůžek.</w:t>
      </w:r>
    </w:p>
    <w:p w14:paraId="5A487FD0" w14:textId="77777777" w:rsidR="00475554" w:rsidRDefault="00157B87">
      <w:pPr>
        <w:spacing w:before="120" w:after="120"/>
        <w:jc w:val="both"/>
        <w:rPr>
          <w:spacing w:val="-2"/>
        </w:rPr>
      </w:pPr>
      <w:r>
        <w:rPr>
          <w:spacing w:val="-2"/>
        </w:rPr>
        <w:t>Maximální kapacita každé konkrétní sociální služby je stanovena v Akčním plánu pro daný rok.</w:t>
      </w:r>
    </w:p>
    <w:p w14:paraId="2A5C3704" w14:textId="77777777" w:rsidR="00475554" w:rsidRDefault="00475554">
      <w:pPr>
        <w:spacing w:before="120" w:after="120"/>
        <w:jc w:val="both"/>
      </w:pPr>
    </w:p>
    <w:p w14:paraId="2EB74FDF" w14:textId="77777777" w:rsidR="00475554" w:rsidRDefault="00157B87">
      <w:pPr>
        <w:pStyle w:val="Nadpis3"/>
        <w:spacing w:before="120" w:after="120"/>
        <w:ind w:left="709" w:hanging="709"/>
        <w:jc w:val="both"/>
        <w:rPr>
          <w:rFonts w:ascii="Calibri" w:hAnsi="Calibri"/>
          <w:sz w:val="24"/>
          <w:szCs w:val="24"/>
        </w:rPr>
      </w:pPr>
      <w:bookmarkStart w:id="62" w:name="_Ref381550286"/>
      <w:bookmarkStart w:id="63" w:name="_Toc386625353"/>
      <w:bookmarkStart w:id="64" w:name="_Toc385925700"/>
      <w:bookmarkStart w:id="65" w:name="_Ref387329971"/>
      <w:bookmarkStart w:id="66" w:name="_Toc230777918"/>
      <w:r>
        <w:rPr>
          <w:rFonts w:ascii="Calibri" w:hAnsi="Calibri"/>
          <w:sz w:val="24"/>
          <w:szCs w:val="24"/>
        </w:rPr>
        <w:t>Obvyklé výnosy pobytových sociálních služeb</w:t>
      </w:r>
      <w:bookmarkEnd w:id="62"/>
      <w:bookmarkEnd w:id="63"/>
      <w:bookmarkEnd w:id="64"/>
      <w:bookmarkEnd w:id="65"/>
      <w:bookmarkEnd w:id="66"/>
    </w:p>
    <w:p w14:paraId="497FF96D" w14:textId="77777777" w:rsidR="00475554" w:rsidRDefault="00475554">
      <w:pPr>
        <w:spacing w:before="120" w:after="120"/>
        <w:jc w:val="both"/>
      </w:pPr>
    </w:p>
    <w:p w14:paraId="4D909527" w14:textId="77777777" w:rsidR="00475554" w:rsidRDefault="00157B87">
      <w:pPr>
        <w:pStyle w:val="Nadpis4"/>
        <w:spacing w:before="120" w:after="120"/>
        <w:ind w:left="862" w:hanging="862"/>
        <w:jc w:val="both"/>
        <w:rPr>
          <w:rFonts w:asciiTheme="minorHAnsi" w:hAnsiTheme="minorHAnsi" w:cstheme="minorHAnsi"/>
        </w:rPr>
      </w:pPr>
      <w:bookmarkStart w:id="67" w:name="_Toc230777919"/>
      <w:r>
        <w:rPr>
          <w:rFonts w:asciiTheme="minorHAnsi" w:hAnsiTheme="minorHAnsi" w:cstheme="minorHAnsi"/>
        </w:rPr>
        <w:t>Obvyklé výnosy pobytových služeb sociální péče</w:t>
      </w:r>
      <w:bookmarkEnd w:id="67"/>
    </w:p>
    <w:p w14:paraId="3EB6C8BE" w14:textId="77777777" w:rsidR="00475554" w:rsidRDefault="00475554">
      <w:pPr>
        <w:spacing w:before="120" w:after="120"/>
        <w:jc w:val="both"/>
      </w:pPr>
    </w:p>
    <w:p w14:paraId="053FF71F" w14:textId="77777777" w:rsidR="00475554" w:rsidRDefault="00157B87">
      <w:pPr>
        <w:spacing w:before="120" w:after="240"/>
        <w:jc w:val="both"/>
      </w:pPr>
      <w:r>
        <w:t>Obvyklé výnosy pobytových služeb sociální péče tvoří výnosy od uživatelů služeb (</w:t>
      </w:r>
      <w:r>
        <w:rPr>
          <w:b/>
        </w:rPr>
        <w:t>V</w:t>
      </w:r>
      <w:r>
        <w:rPr>
          <w:b/>
          <w:vertAlign w:val="subscript"/>
        </w:rPr>
        <w:t>U</w:t>
      </w:r>
      <w:r>
        <w:t>), výnosy od zdravotních pojišťoven (</w:t>
      </w:r>
      <w:r>
        <w:rPr>
          <w:b/>
        </w:rPr>
        <w:t>V</w:t>
      </w:r>
      <w:r>
        <w:rPr>
          <w:b/>
          <w:vertAlign w:val="subscript"/>
        </w:rPr>
        <w:t>ZP</w:t>
      </w:r>
      <w:r>
        <w:t>) a ostatní výnosy (</w:t>
      </w:r>
      <w:r>
        <w:rPr>
          <w:b/>
        </w:rPr>
        <w:t>V</w:t>
      </w:r>
      <w:r>
        <w:rPr>
          <w:b/>
          <w:vertAlign w:val="subscript"/>
        </w:rPr>
        <w:t>O</w:t>
      </w:r>
      <w:r>
        <w:t>).</w:t>
      </w:r>
      <w:r w:rsidR="00F43A4C">
        <w:t xml:space="preserve"> Vypočtené obvyklé výnosy mohou být následně zreálněny na základě analýzy skutečných dat. Při korekci výsledné hodnoty se zohledňují také legislativní změny, zejména </w:t>
      </w:r>
      <w:r w:rsidR="00B06331">
        <w:t>výše úhrad od uživatele při změně prováděcí</w:t>
      </w:r>
      <w:r w:rsidR="00F43A4C">
        <w:t xml:space="preserve"> vyhlášky.  </w:t>
      </w:r>
    </w:p>
    <w:p w14:paraId="01F8086D" w14:textId="77777777" w:rsidR="00475554" w:rsidRDefault="00157B87">
      <w:pPr>
        <w:pStyle w:val="Odstavecseseznamem"/>
        <w:numPr>
          <w:ilvl w:val="0"/>
          <w:numId w:val="6"/>
        </w:numPr>
        <w:spacing w:before="120" w:after="120"/>
        <w:ind w:left="426" w:hanging="426"/>
        <w:contextualSpacing w:val="0"/>
        <w:jc w:val="both"/>
        <w:rPr>
          <w:b/>
        </w:rPr>
      </w:pPr>
      <w:r>
        <w:rPr>
          <w:b/>
        </w:rPr>
        <w:t>Výnosy od uživatelů pobytových služeb sociální péče = V</w:t>
      </w:r>
      <w:r>
        <w:rPr>
          <w:b/>
          <w:vertAlign w:val="subscript"/>
        </w:rPr>
        <w:t>UP</w:t>
      </w:r>
    </w:p>
    <w:p w14:paraId="2367FEDD" w14:textId="2E7865FC" w:rsidR="00475554" w:rsidRDefault="00157B87">
      <w:pPr>
        <w:spacing w:before="120" w:after="120"/>
        <w:ind w:left="425"/>
        <w:jc w:val="both"/>
      </w:pPr>
      <w:r>
        <w:t xml:space="preserve">Výnosy od uživatelů pobytových služeb sociální péče jsou modelovány na stanovenou jednotku sociální služby </w:t>
      </w:r>
      <w:r w:rsidR="00044543">
        <w:t xml:space="preserve">na základě analýz a </w:t>
      </w:r>
      <w:r w:rsidR="000856BF">
        <w:t xml:space="preserve">v souladu s </w:t>
      </w:r>
      <w:r>
        <w:t>následující</w:t>
      </w:r>
      <w:r w:rsidR="000856BF">
        <w:t>mi</w:t>
      </w:r>
      <w:r>
        <w:t xml:space="preserve"> zásad</w:t>
      </w:r>
      <w:r w:rsidR="000856BF">
        <w:t>ami</w:t>
      </w:r>
      <w:r>
        <w:t>:</w:t>
      </w:r>
    </w:p>
    <w:p w14:paraId="67A91FC7" w14:textId="0DBAC89E" w:rsidR="00475554" w:rsidRDefault="00157B87">
      <w:pPr>
        <w:pStyle w:val="Odstavecseseznamem"/>
        <w:numPr>
          <w:ilvl w:val="1"/>
          <w:numId w:val="6"/>
        </w:numPr>
        <w:spacing w:before="120" w:after="120"/>
        <w:ind w:left="851" w:hanging="425"/>
        <w:contextualSpacing w:val="0"/>
        <w:jc w:val="both"/>
        <w:rPr>
          <w:rFonts w:cs="Arial"/>
        </w:rPr>
      </w:pPr>
      <w:r>
        <w:rPr>
          <w:b/>
          <w:spacing w:val="-4"/>
        </w:rPr>
        <w:t xml:space="preserve">Výnosy na jednotku sociální služby za základní činnosti ubytování a strava/rok = U </w:t>
      </w:r>
      <w:r>
        <w:t>(</w:t>
      </w:r>
      <w:r>
        <w:rPr>
          <w:rFonts w:cs="Arial"/>
        </w:rPr>
        <w:t xml:space="preserve">mimo sociální službu druhu chráněné bydlení, pro kterou je zákonem </w:t>
      </w:r>
      <w:r w:rsidR="00077C41">
        <w:rPr>
          <w:rFonts w:cs="Arial"/>
        </w:rPr>
        <w:t>č. 108/2006 Sb.</w:t>
      </w:r>
      <w:r>
        <w:rPr>
          <w:rFonts w:cs="Arial"/>
        </w:rPr>
        <w:t xml:space="preserve"> způsob úhrad stanoven jinak)</w:t>
      </w:r>
    </w:p>
    <w:p w14:paraId="5E350EAD" w14:textId="77777777" w:rsidR="00475554" w:rsidRDefault="00157B87">
      <w:pPr>
        <w:spacing w:before="120" w:after="120"/>
        <w:ind w:left="851"/>
        <w:jc w:val="both"/>
        <w:rPr>
          <w:b/>
        </w:rPr>
      </w:pPr>
      <w:r>
        <w:rPr>
          <w:b/>
        </w:rPr>
        <w:t>Východiska:</w:t>
      </w:r>
    </w:p>
    <w:p w14:paraId="3480E694" w14:textId="77777777" w:rsidR="00475554" w:rsidRDefault="00157B87">
      <w:pPr>
        <w:pStyle w:val="Odstavecseseznamem"/>
        <w:numPr>
          <w:ilvl w:val="0"/>
          <w:numId w:val="5"/>
        </w:numPr>
        <w:spacing w:before="120" w:after="120"/>
        <w:ind w:left="1276" w:hanging="425"/>
        <w:contextualSpacing w:val="0"/>
        <w:jc w:val="both"/>
      </w:pPr>
      <w:r>
        <w:t>Jednotka sociální služby.</w:t>
      </w:r>
    </w:p>
    <w:p w14:paraId="501A8C8A" w14:textId="77777777" w:rsidR="00475554" w:rsidRDefault="00157B87">
      <w:pPr>
        <w:pStyle w:val="Odstavecseseznamem"/>
        <w:numPr>
          <w:ilvl w:val="0"/>
          <w:numId w:val="5"/>
        </w:numPr>
        <w:spacing w:before="120" w:after="120"/>
        <w:ind w:left="1276" w:hanging="425"/>
        <w:contextualSpacing w:val="0"/>
        <w:jc w:val="both"/>
        <w:rPr>
          <w:rFonts w:cs="Arial"/>
        </w:rPr>
      </w:pPr>
      <w:r>
        <w:rPr>
          <w:rFonts w:cs="Arial"/>
        </w:rPr>
        <w:t xml:space="preserve">Průměrná měsíční výše starobního a invalidního důchodu ve Zlínském kraji zjištěná k datu prováděné analýzy = </w:t>
      </w:r>
      <w:r>
        <w:rPr>
          <w:rFonts w:cs="Arial"/>
          <w:b/>
        </w:rPr>
        <w:t>D</w:t>
      </w:r>
      <w:r>
        <w:rPr>
          <w:rFonts w:cs="Arial"/>
        </w:rPr>
        <w:t>.</w:t>
      </w:r>
    </w:p>
    <w:p w14:paraId="258E5CA1" w14:textId="51AF0C65" w:rsidR="00475554" w:rsidRDefault="00157B87">
      <w:pPr>
        <w:pStyle w:val="Odstavecseseznamem"/>
        <w:numPr>
          <w:ilvl w:val="0"/>
          <w:numId w:val="5"/>
        </w:numPr>
        <w:spacing w:before="120" w:after="120"/>
        <w:ind w:left="1276" w:hanging="425"/>
        <w:contextualSpacing w:val="0"/>
        <w:jc w:val="both"/>
        <w:rPr>
          <w:rFonts w:cs="Arial"/>
        </w:rPr>
      </w:pPr>
      <w:r>
        <w:rPr>
          <w:rFonts w:cs="Arial"/>
        </w:rPr>
        <w:t xml:space="preserve">Zohlednění regulace dle § 73 odst. 3 </w:t>
      </w:r>
      <w:r>
        <w:t xml:space="preserve">zákona </w:t>
      </w:r>
      <w:r w:rsidR="00077C41">
        <w:t>č. 108/2006 Sb.</w:t>
      </w:r>
      <w:r>
        <w:rPr>
          <w:rFonts w:cs="Arial"/>
        </w:rPr>
        <w:t xml:space="preserve"> – „po úhradě za ubytování a stravu při poskytování pobytových služeb v týdenních stacionářích musí osobě zůstat alespoň 25 % jejího příjmu“, a při poskytování pobytových služeb uvedených v § 73 odst. 1 písm. b) až e) „musí osobě zůstat alespoň 15 % jejího příjmu“.</w:t>
      </w:r>
    </w:p>
    <w:p w14:paraId="618465CD" w14:textId="77777777" w:rsidR="00475554" w:rsidRDefault="00157B87">
      <w:pPr>
        <w:pStyle w:val="Odstavecseseznamem"/>
        <w:numPr>
          <w:ilvl w:val="0"/>
          <w:numId w:val="5"/>
        </w:numPr>
        <w:spacing w:before="120" w:after="120"/>
        <w:ind w:left="1276" w:hanging="425"/>
        <w:contextualSpacing w:val="0"/>
        <w:jc w:val="both"/>
        <w:rPr>
          <w:rFonts w:cs="Arial"/>
        </w:rPr>
      </w:pPr>
      <w:r>
        <w:rPr>
          <w:rFonts w:cs="Arial"/>
        </w:rPr>
        <w:t>Pro výpočet průměrné měsíční úhrady je stanovena hypotéza maximální úhrady za poskytnutou celodenní stravu. Reálná výše úhrady za základní úkon ubytování představuje rozdíl průměrné měsíční výše důchodu snížené o zákonnou regulaci a maximální měsíční výše za základní úkon poskytnutí/zajištění celodenní stravy.</w:t>
      </w:r>
    </w:p>
    <w:p w14:paraId="2F425718" w14:textId="77777777" w:rsidR="00475554" w:rsidRDefault="00157B87">
      <w:pPr>
        <w:pStyle w:val="Odstavecseseznamem"/>
        <w:numPr>
          <w:ilvl w:val="0"/>
          <w:numId w:val="5"/>
        </w:numPr>
        <w:spacing w:before="120" w:after="120"/>
        <w:ind w:left="1276" w:hanging="425"/>
        <w:contextualSpacing w:val="0"/>
        <w:jc w:val="both"/>
        <w:rPr>
          <w:rFonts w:cs="Arial"/>
          <w:b/>
        </w:rPr>
      </w:pPr>
      <w:r>
        <w:rPr>
          <w:rFonts w:cs="Arial"/>
        </w:rPr>
        <w:t xml:space="preserve">Minimální obložnost sociální služby (dle parametru efektivita sociální služby v rámci hodnocení služeb) stanovená pro konkrétní druh sociální služby = </w:t>
      </w:r>
      <w:r>
        <w:rPr>
          <w:b/>
        </w:rPr>
        <w:t>O</w:t>
      </w:r>
      <w:r>
        <w:rPr>
          <w:b/>
          <w:vertAlign w:val="subscript"/>
        </w:rPr>
        <w:t>B</w:t>
      </w:r>
      <w:r>
        <w:t>.</w:t>
      </w:r>
    </w:p>
    <w:tbl>
      <w:tblPr>
        <w:tblStyle w:val="Mkatabulky"/>
        <w:tblW w:w="8221" w:type="dxa"/>
        <w:tblInd w:w="846" w:type="dxa"/>
        <w:tblLook w:val="04A0" w:firstRow="1" w:lastRow="0" w:firstColumn="1" w:lastColumn="0" w:noHBand="0" w:noVBand="1"/>
      </w:tblPr>
      <w:tblGrid>
        <w:gridCol w:w="8221"/>
      </w:tblGrid>
      <w:tr w:rsidR="00475554" w14:paraId="28B1C1B2" w14:textId="77777777">
        <w:trPr>
          <w:trHeight w:val="1149"/>
        </w:trPr>
        <w:tc>
          <w:tcPr>
            <w:tcW w:w="8221" w:type="dxa"/>
          </w:tcPr>
          <w:p w14:paraId="1F140398" w14:textId="77777777" w:rsidR="00475554" w:rsidRDefault="00157B87">
            <w:pPr>
              <w:spacing w:before="60" w:after="60" w:line="276" w:lineRule="auto"/>
              <w:jc w:val="both"/>
              <w:rPr>
                <w:rFonts w:cs="Arial"/>
                <w:b/>
                <w:i/>
              </w:rPr>
            </w:pPr>
            <w:r>
              <w:rPr>
                <w:rFonts w:cs="Arial"/>
                <w:b/>
                <w:i/>
              </w:rPr>
              <w:t>Vzorec stanovení obvyklého ročního výnosu na jednotku sociální služby za základní činnosti ubytování:</w:t>
            </w:r>
          </w:p>
          <w:p w14:paraId="5DDAA9D2" w14:textId="77777777" w:rsidR="00475554" w:rsidRDefault="00157B87">
            <w:pPr>
              <w:spacing w:before="60" w:after="60" w:line="276" w:lineRule="auto"/>
              <w:jc w:val="both"/>
              <w:rPr>
                <w:rFonts w:cs="Arial"/>
              </w:rPr>
            </w:pPr>
            <m:oMathPara>
              <m:oMath>
                <m:r>
                  <m:rPr>
                    <m:sty m:val="bi"/>
                  </m:rPr>
                  <w:rPr>
                    <w:rFonts w:ascii="Cambria Math" w:hAnsi="Cambria Math" w:cs="Arial"/>
                  </w:rPr>
                  <m:t>U=</m:t>
                </m:r>
                <m:d>
                  <m:dPr>
                    <m:begChr m:val="["/>
                    <m:endChr m:val="]"/>
                    <m:ctrlPr>
                      <w:rPr>
                        <w:rFonts w:ascii="Cambria Math" w:hAnsi="Cambria Math" w:cs="Arial"/>
                        <w:b/>
                        <w:i/>
                      </w:rPr>
                    </m:ctrlPr>
                  </m:dPr>
                  <m:e>
                    <m:r>
                      <m:rPr>
                        <m:sty m:val="bi"/>
                      </m:rPr>
                      <w:rPr>
                        <w:rFonts w:ascii="Cambria Math" w:hAnsi="Cambria Math" w:cs="Arial"/>
                      </w:rPr>
                      <m:t xml:space="preserve">D- </m:t>
                    </m:r>
                    <m:d>
                      <m:dPr>
                        <m:ctrlPr>
                          <w:rPr>
                            <w:rFonts w:ascii="Cambria Math" w:hAnsi="Cambria Math" w:cs="Arial"/>
                            <w:b/>
                            <w:i/>
                          </w:rPr>
                        </m:ctrlPr>
                      </m:dPr>
                      <m:e>
                        <m:r>
                          <m:rPr>
                            <m:sty m:val="bi"/>
                          </m:rPr>
                          <w:rPr>
                            <w:rFonts w:ascii="Cambria Math" w:hAnsi="Cambria Math" w:cs="Arial"/>
                          </w:rPr>
                          <m:t>D×15% resp.25%</m:t>
                        </m:r>
                      </m:e>
                    </m:d>
                  </m:e>
                </m:d>
                <m:r>
                  <m:rPr>
                    <m:sty m:val="bi"/>
                  </m:rPr>
                  <w:rPr>
                    <w:rFonts w:ascii="Cambria Math" w:hAnsi="Cambria Math" w:cs="Arial"/>
                  </w:rPr>
                  <m:t>×12×</m:t>
                </m:r>
                <m:sSub>
                  <m:sSubPr>
                    <m:ctrlPr>
                      <w:rPr>
                        <w:rFonts w:ascii="Cambria Math" w:hAnsi="Cambria Math" w:cs="Arial"/>
                        <w:b/>
                        <w:i/>
                      </w:rPr>
                    </m:ctrlPr>
                  </m:sSubPr>
                  <m:e>
                    <m:r>
                      <m:rPr>
                        <m:sty m:val="bi"/>
                      </m:rPr>
                      <w:rPr>
                        <w:rFonts w:ascii="Cambria Math" w:hAnsi="Cambria Math" w:cs="Arial"/>
                      </w:rPr>
                      <m:t>O</m:t>
                    </m:r>
                  </m:e>
                  <m:sub>
                    <m:r>
                      <m:rPr>
                        <m:sty m:val="bi"/>
                      </m:rPr>
                      <w:rPr>
                        <w:rFonts w:ascii="Cambria Math" w:hAnsi="Cambria Math" w:cs="Arial"/>
                      </w:rPr>
                      <m:t>B</m:t>
                    </m:r>
                  </m:sub>
                </m:sSub>
              </m:oMath>
            </m:oMathPara>
          </w:p>
        </w:tc>
      </w:tr>
    </w:tbl>
    <w:p w14:paraId="46608C6D" w14:textId="77777777" w:rsidR="00475554" w:rsidRDefault="00157B87">
      <w:pPr>
        <w:spacing w:before="120" w:after="120"/>
        <w:ind w:left="851"/>
        <w:jc w:val="both"/>
        <w:rPr>
          <w:rFonts w:cs="Arial"/>
          <w:b/>
        </w:rPr>
      </w:pPr>
      <w:r>
        <w:rPr>
          <w:rFonts w:cs="Arial"/>
          <w:b/>
        </w:rPr>
        <w:t xml:space="preserve">Výjimka: </w:t>
      </w:r>
    </w:p>
    <w:p w14:paraId="00F8055F" w14:textId="72951A40" w:rsidR="00475554" w:rsidRDefault="00157B87">
      <w:pPr>
        <w:spacing w:before="120" w:after="120"/>
        <w:ind w:left="851"/>
        <w:jc w:val="both"/>
        <w:rPr>
          <w:rFonts w:cs="Arial"/>
        </w:rPr>
      </w:pPr>
      <w:r>
        <w:rPr>
          <w:rFonts w:cs="Arial"/>
        </w:rPr>
        <w:lastRenderedPageBreak/>
        <w:t>Individuálně je přistupováno ke službám, jež poskytují služby nezaopatřenému dítěti s nařízenou ústavní výchovou. V těchto případech nejsou jednotky sociálních služeb pro výpočet výnosů za základní činnost ubytování v dané sociální službě zohledňovány.</w:t>
      </w:r>
    </w:p>
    <w:p w14:paraId="45F2C3D6" w14:textId="77777777" w:rsidR="00475554" w:rsidRDefault="00157B87">
      <w:pPr>
        <w:pStyle w:val="Odstavecseseznamem"/>
        <w:numPr>
          <w:ilvl w:val="1"/>
          <w:numId w:val="6"/>
        </w:numPr>
        <w:spacing w:before="120" w:after="120"/>
        <w:ind w:left="851" w:hanging="425"/>
        <w:contextualSpacing w:val="0"/>
        <w:jc w:val="both"/>
        <w:rPr>
          <w:b/>
        </w:rPr>
      </w:pPr>
      <w:r>
        <w:rPr>
          <w:b/>
        </w:rPr>
        <w:t xml:space="preserve">Výnosy na jednotku sociální služby za základní činnosti ubytování a strava/rok – sociální služba druhu chráněné bydlení </w:t>
      </w:r>
      <w:r>
        <w:rPr>
          <w:rFonts w:cs="Arial"/>
          <w:b/>
        </w:rPr>
        <w:t>=</w:t>
      </w:r>
      <w:r>
        <w:rPr>
          <w:b/>
        </w:rPr>
        <w:t xml:space="preserve"> U</w:t>
      </w:r>
      <w:r>
        <w:rPr>
          <w:b/>
          <w:vertAlign w:val="subscript"/>
        </w:rPr>
        <w:t>CH</w:t>
      </w:r>
    </w:p>
    <w:p w14:paraId="0D4FB6AC" w14:textId="437B64F8" w:rsidR="00475554" w:rsidRDefault="00157B87">
      <w:pPr>
        <w:pStyle w:val="Odstavecseseznamem"/>
        <w:spacing w:before="120" w:after="120"/>
        <w:ind w:left="851"/>
        <w:contextualSpacing w:val="0"/>
        <w:jc w:val="both"/>
        <w:rPr>
          <w:rFonts w:cs="Arial"/>
        </w:rPr>
      </w:pPr>
      <w:r>
        <w:rPr>
          <w:rFonts w:cs="Arial"/>
        </w:rPr>
        <w:t>Samostatně jsou</w:t>
      </w:r>
      <w:r>
        <w:rPr>
          <w:rFonts w:cs="Arial"/>
          <w:b/>
        </w:rPr>
        <w:t xml:space="preserve"> </w:t>
      </w:r>
      <w:r>
        <w:rPr>
          <w:rFonts w:cs="Arial"/>
        </w:rPr>
        <w:t xml:space="preserve">obvyklé výnosy za základní činnosti modelovány v případě sociální služby druhu chráněné </w:t>
      </w:r>
      <w:r>
        <w:t>bydlení</w:t>
      </w:r>
      <w:r>
        <w:rPr>
          <w:rFonts w:cs="Arial"/>
        </w:rPr>
        <w:t xml:space="preserve">, pro které je zákonem </w:t>
      </w:r>
      <w:r w:rsidR="00077C41">
        <w:rPr>
          <w:rFonts w:cs="Arial"/>
        </w:rPr>
        <w:t>č. 108/2006 Sb.</w:t>
      </w:r>
      <w:r>
        <w:rPr>
          <w:rFonts w:cs="Arial"/>
        </w:rPr>
        <w:t xml:space="preserve"> stanovena odlišná úprava úhrady.</w:t>
      </w:r>
    </w:p>
    <w:p w14:paraId="461F9FD4" w14:textId="77777777" w:rsidR="00475554" w:rsidRDefault="00157B87">
      <w:pPr>
        <w:spacing w:before="120" w:after="120"/>
        <w:ind w:left="851"/>
        <w:jc w:val="both"/>
        <w:rPr>
          <w:rFonts w:cs="Arial"/>
          <w:b/>
        </w:rPr>
      </w:pPr>
      <w:r>
        <w:rPr>
          <w:rFonts w:cs="Arial"/>
          <w:b/>
        </w:rPr>
        <w:t>Východiska sociální služby druhu chráněné bydlení:</w:t>
      </w:r>
    </w:p>
    <w:p w14:paraId="46435C76" w14:textId="77777777" w:rsidR="00475554" w:rsidRDefault="00157B87">
      <w:pPr>
        <w:pStyle w:val="Odstavecseseznamem"/>
        <w:numPr>
          <w:ilvl w:val="0"/>
          <w:numId w:val="5"/>
        </w:numPr>
        <w:spacing w:before="120" w:after="120"/>
        <w:ind w:left="1276" w:hanging="425"/>
        <w:contextualSpacing w:val="0"/>
        <w:jc w:val="both"/>
        <w:rPr>
          <w:rFonts w:cs="Arial"/>
        </w:rPr>
      </w:pPr>
      <w:r>
        <w:rPr>
          <w:rFonts w:cs="Arial"/>
        </w:rPr>
        <w:t>Jednotka sociální služby.</w:t>
      </w:r>
    </w:p>
    <w:p w14:paraId="213EE98B" w14:textId="77777777" w:rsidR="00475554" w:rsidRDefault="00157B87">
      <w:pPr>
        <w:pStyle w:val="Odstavecseseznamem"/>
        <w:numPr>
          <w:ilvl w:val="0"/>
          <w:numId w:val="5"/>
        </w:numPr>
        <w:spacing w:before="120" w:after="120"/>
        <w:ind w:left="1276" w:hanging="425"/>
        <w:contextualSpacing w:val="0"/>
        <w:jc w:val="both"/>
        <w:rPr>
          <w:rFonts w:cs="Arial"/>
        </w:rPr>
      </w:pPr>
      <w:r>
        <w:rPr>
          <w:rFonts w:cs="Arial"/>
        </w:rPr>
        <w:t xml:space="preserve">Maximální sazba ubytování na den stanovena pro tento druh sociální služby = </w:t>
      </w:r>
      <w:r>
        <w:rPr>
          <w:rFonts w:cs="Arial"/>
          <w:b/>
        </w:rPr>
        <w:t>B</w:t>
      </w:r>
      <w:r>
        <w:rPr>
          <w:rFonts w:cs="Arial"/>
        </w:rPr>
        <w:t>.</w:t>
      </w:r>
    </w:p>
    <w:p w14:paraId="059248B3" w14:textId="184D1FC4" w:rsidR="00475554" w:rsidRDefault="00157B87">
      <w:pPr>
        <w:pStyle w:val="Odstavecseseznamem"/>
        <w:numPr>
          <w:ilvl w:val="0"/>
          <w:numId w:val="5"/>
        </w:numPr>
        <w:spacing w:before="120" w:after="120"/>
        <w:ind w:left="1276" w:hanging="425"/>
        <w:contextualSpacing w:val="0"/>
        <w:jc w:val="both"/>
        <w:rPr>
          <w:rFonts w:cs="Arial"/>
        </w:rPr>
      </w:pPr>
      <w:r>
        <w:rPr>
          <w:rFonts w:cs="Arial"/>
        </w:rPr>
        <w:t>Pro zachování</w:t>
      </w:r>
      <w:r w:rsidR="00004C1B" w:rsidRPr="00004C1B">
        <w:rPr>
          <w:rFonts w:cs="Arial"/>
        </w:rPr>
        <w:t xml:space="preserve"> </w:t>
      </w:r>
      <w:r w:rsidR="00004C1B" w:rsidRPr="00141A20">
        <w:rPr>
          <w:rFonts w:cs="Arial"/>
          <w:highlight w:val="yellow"/>
        </w:rPr>
        <w:t>dostupnosti Chráněného bydlení pro uživatele ve vztahu k jejich potřebám a finančním možnostem je</w:t>
      </w:r>
      <w:r w:rsidR="00004C1B">
        <w:rPr>
          <w:rFonts w:cs="Arial"/>
        </w:rPr>
        <w:t xml:space="preserve"> u</w:t>
      </w:r>
      <w:r w:rsidR="00004C1B" w:rsidRPr="00004C1B">
        <w:rPr>
          <w:rFonts w:cs="Arial"/>
        </w:rPr>
        <w:t xml:space="preserve"> </w:t>
      </w:r>
      <w:r>
        <w:rPr>
          <w:rFonts w:cs="Arial"/>
        </w:rPr>
        <w:t>tohoto druhu sociální služby uplatňován redukční mechanismus 15 %.</w:t>
      </w:r>
    </w:p>
    <w:p w14:paraId="57FBAE47" w14:textId="77777777" w:rsidR="00475554" w:rsidRDefault="00157B87">
      <w:pPr>
        <w:pStyle w:val="Odstavecseseznamem"/>
        <w:numPr>
          <w:ilvl w:val="0"/>
          <w:numId w:val="5"/>
        </w:numPr>
        <w:spacing w:before="120" w:after="120"/>
        <w:ind w:left="1276" w:hanging="425"/>
        <w:contextualSpacing w:val="0"/>
        <w:jc w:val="both"/>
        <w:rPr>
          <w:rFonts w:cs="Arial"/>
          <w:spacing w:val="-4"/>
        </w:rPr>
      </w:pPr>
      <w:r>
        <w:rPr>
          <w:rFonts w:cs="Arial"/>
          <w:spacing w:val="-6"/>
          <w:kern w:val="22"/>
        </w:rPr>
        <w:t>S ohledem na stávající principy služby poskytované uživatelům s vyšší mírou soběstačnosti není</w:t>
      </w:r>
      <w:r>
        <w:rPr>
          <w:rFonts w:cs="Arial"/>
          <w:spacing w:val="-8"/>
        </w:rPr>
        <w:t xml:space="preserve"> </w:t>
      </w:r>
      <w:r>
        <w:rPr>
          <w:rFonts w:cs="Arial"/>
          <w:spacing w:val="-4"/>
        </w:rPr>
        <w:t>modelován předpoklad poskytování stravy a s tím související úhrady za tento základní úkon.</w:t>
      </w:r>
    </w:p>
    <w:p w14:paraId="6D59BCEC" w14:textId="77777777" w:rsidR="00475554" w:rsidRDefault="00157B87">
      <w:pPr>
        <w:pStyle w:val="Odstavecseseznamem"/>
        <w:numPr>
          <w:ilvl w:val="0"/>
          <w:numId w:val="5"/>
        </w:numPr>
        <w:spacing w:before="120" w:after="120"/>
        <w:ind w:left="1276" w:hanging="425"/>
        <w:contextualSpacing w:val="0"/>
        <w:jc w:val="both"/>
        <w:rPr>
          <w:rFonts w:cs="Arial"/>
        </w:rPr>
      </w:pPr>
      <w:r>
        <w:rPr>
          <w:rFonts w:cs="Arial"/>
        </w:rPr>
        <w:t xml:space="preserve">Minimální obložnost sociální služby (dle parametru efektivita sociální služby v rámci hodnocení služeb) stanovená pro konkrétní druh sociální služby = </w:t>
      </w:r>
      <w:r>
        <w:rPr>
          <w:b/>
        </w:rPr>
        <w:t>O</w:t>
      </w:r>
      <w:r>
        <w:rPr>
          <w:b/>
          <w:vertAlign w:val="subscript"/>
        </w:rPr>
        <w:t>B</w:t>
      </w:r>
      <w:r>
        <w:t>.</w:t>
      </w:r>
    </w:p>
    <w:tbl>
      <w:tblPr>
        <w:tblStyle w:val="Mkatabulky"/>
        <w:tblW w:w="8221" w:type="dxa"/>
        <w:tblInd w:w="846" w:type="dxa"/>
        <w:tblLook w:val="04A0" w:firstRow="1" w:lastRow="0" w:firstColumn="1" w:lastColumn="0" w:noHBand="0" w:noVBand="1"/>
      </w:tblPr>
      <w:tblGrid>
        <w:gridCol w:w="8221"/>
      </w:tblGrid>
      <w:tr w:rsidR="00475554" w14:paraId="4CC6E6A6" w14:textId="77777777">
        <w:trPr>
          <w:trHeight w:val="1108"/>
        </w:trPr>
        <w:tc>
          <w:tcPr>
            <w:tcW w:w="8221" w:type="dxa"/>
          </w:tcPr>
          <w:p w14:paraId="26B18F7D" w14:textId="77777777" w:rsidR="00475554" w:rsidRDefault="00157B87">
            <w:pPr>
              <w:spacing w:before="60" w:after="60" w:line="276" w:lineRule="auto"/>
              <w:jc w:val="both"/>
              <w:rPr>
                <w:rFonts w:cs="Arial"/>
                <w:b/>
                <w:i/>
              </w:rPr>
            </w:pPr>
            <w:r>
              <w:rPr>
                <w:rFonts w:cs="Arial"/>
                <w:b/>
                <w:i/>
              </w:rPr>
              <w:t>Vzorec stanovení obvyklého ročního výnosu na jednotku chráněného bydlení za základní činnosti ubytování:</w:t>
            </w:r>
          </w:p>
          <w:p w14:paraId="04DA7BAA" w14:textId="77777777" w:rsidR="00475554" w:rsidRDefault="00B67ACF">
            <w:pPr>
              <w:spacing w:before="60" w:after="60" w:line="276" w:lineRule="auto"/>
              <w:ind w:left="34"/>
              <w:jc w:val="both"/>
              <w:rPr>
                <w:rFonts w:cs="Arial"/>
                <w:b/>
              </w:rPr>
            </w:pPr>
            <m:oMathPara>
              <m:oMath>
                <m:sSub>
                  <m:sSubPr>
                    <m:ctrlPr>
                      <w:rPr>
                        <w:rFonts w:ascii="Cambria Math" w:hAnsi="Cambria Math" w:cs="Arial"/>
                        <w:b/>
                        <w:bCs/>
                        <w:i/>
                        <w:iCs/>
                      </w:rPr>
                    </m:ctrlPr>
                  </m:sSubPr>
                  <m:e>
                    <m:r>
                      <m:rPr>
                        <m:sty m:val="bi"/>
                      </m:rPr>
                      <w:rPr>
                        <w:rFonts w:ascii="Cambria Math" w:hAnsi="Cambria Math" w:cs="Arial"/>
                      </w:rPr>
                      <m:t>U</m:t>
                    </m:r>
                  </m:e>
                  <m:sub>
                    <m:r>
                      <m:rPr>
                        <m:sty m:val="bi"/>
                      </m:rPr>
                      <w:rPr>
                        <w:rFonts w:ascii="Cambria Math" w:hAnsi="Cambria Math" w:cs="Arial"/>
                      </w:rPr>
                      <m:t>CH</m:t>
                    </m:r>
                  </m:sub>
                </m:sSub>
                <m:r>
                  <m:rPr>
                    <m:sty m:val="bi"/>
                  </m:rPr>
                  <w:rPr>
                    <w:rFonts w:ascii="Cambria Math" w:hAnsi="Cambria Math" w:cs="Arial"/>
                  </w:rPr>
                  <m:t>=</m:t>
                </m:r>
                <m:d>
                  <m:dPr>
                    <m:begChr m:val="["/>
                    <m:endChr m:val="]"/>
                    <m:ctrlPr>
                      <w:rPr>
                        <w:rFonts w:ascii="Cambria Math" w:hAnsi="Cambria Math" w:cs="Arial"/>
                        <w:b/>
                        <w:i/>
                      </w:rPr>
                    </m:ctrlPr>
                  </m:dPr>
                  <m:e>
                    <m:r>
                      <m:rPr>
                        <m:sty m:val="bi"/>
                      </m:rPr>
                      <w:rPr>
                        <w:rFonts w:ascii="Cambria Math" w:hAnsi="Cambria Math" w:cs="Arial"/>
                      </w:rPr>
                      <m:t>B</m:t>
                    </m:r>
                    <m:r>
                      <m:rPr>
                        <m:sty m:val="bi"/>
                      </m:rPr>
                      <w:rPr>
                        <w:rFonts w:ascii="Cambria Math" w:hAnsi="Cambria Math" w:cs="Arial"/>
                      </w:rPr>
                      <m:t>-</m:t>
                    </m:r>
                    <m:r>
                      <m:rPr>
                        <m:sty m:val="bi"/>
                      </m:rPr>
                      <w:rPr>
                        <w:rFonts w:ascii="Cambria Math" w:hAnsi="Cambria Math" w:cs="Arial"/>
                      </w:rPr>
                      <m:t xml:space="preserve"> </m:t>
                    </m:r>
                    <m:d>
                      <m:dPr>
                        <m:ctrlPr>
                          <w:rPr>
                            <w:rFonts w:ascii="Cambria Math" w:hAnsi="Cambria Math" w:cs="Arial"/>
                            <w:b/>
                            <w:i/>
                          </w:rPr>
                        </m:ctrlPr>
                      </m:dPr>
                      <m:e>
                        <m:r>
                          <m:rPr>
                            <m:sty m:val="bi"/>
                          </m:rPr>
                          <w:rPr>
                            <w:rFonts w:ascii="Cambria Math" w:hAnsi="Cambria Math" w:cs="Arial"/>
                          </w:rPr>
                          <m:t>B</m:t>
                        </m:r>
                        <m:r>
                          <m:rPr>
                            <m:sty m:val="bi"/>
                          </m:rPr>
                          <w:rPr>
                            <w:rFonts w:ascii="Cambria Math" w:hAnsi="Cambria Math" w:cs="Arial"/>
                          </w:rPr>
                          <m:t>×</m:t>
                        </m:r>
                        <m:r>
                          <m:rPr>
                            <m:sty m:val="bi"/>
                          </m:rPr>
                          <w:rPr>
                            <w:rFonts w:ascii="Cambria Math" w:hAnsi="Cambria Math" w:cs="Arial"/>
                          </w:rPr>
                          <m:t>15</m:t>
                        </m:r>
                        <m:r>
                          <m:rPr>
                            <m:sty m:val="bi"/>
                          </m:rPr>
                          <w:rPr>
                            <w:rFonts w:ascii="Cambria Math" w:hAnsi="Cambria Math" w:cs="Arial"/>
                          </w:rPr>
                          <m:t>%</m:t>
                        </m:r>
                      </m:e>
                    </m:d>
                  </m:e>
                </m:d>
                <m:r>
                  <m:rPr>
                    <m:sty m:val="bi"/>
                  </m:rPr>
                  <w:rPr>
                    <w:rFonts w:ascii="Cambria Math" w:hAnsi="Cambria Math" w:cs="Arial"/>
                  </w:rPr>
                  <m:t>×</m:t>
                </m:r>
                <m:r>
                  <m:rPr>
                    <m:sty m:val="bi"/>
                  </m:rPr>
                  <w:rPr>
                    <w:rFonts w:ascii="Cambria Math" w:hAnsi="Cambria Math" w:cs="Arial"/>
                  </w:rPr>
                  <m:t>p</m:t>
                </m:r>
                <m:r>
                  <m:rPr>
                    <m:sty m:val="bi"/>
                  </m:rPr>
                  <w:rPr>
                    <w:rFonts w:ascii="Cambria Math" w:hAnsi="Cambria Math"/>
                  </w:rPr>
                  <m:t>o</m:t>
                </m:r>
                <m:r>
                  <m:rPr>
                    <m:sty m:val="bi"/>
                  </m:rPr>
                  <w:rPr>
                    <w:rFonts w:ascii="Cambria Math" w:hAnsi="Cambria Math"/>
                  </w:rPr>
                  <m:t>č</m:t>
                </m:r>
                <m:r>
                  <m:rPr>
                    <m:sty m:val="bi"/>
                  </m:rPr>
                  <w:rPr>
                    <w:rFonts w:ascii="Cambria Math" w:hAnsi="Cambria Math"/>
                  </w:rPr>
                  <m:t>et</m:t>
                </m:r>
                <m:r>
                  <m:rPr>
                    <m:sty m:val="bi"/>
                  </m:rPr>
                  <w:rPr>
                    <w:rFonts w:ascii="Cambria Math" w:hAnsi="Cambria Math"/>
                  </w:rPr>
                  <m:t xml:space="preserve"> </m:t>
                </m:r>
                <m:r>
                  <m:rPr>
                    <m:sty m:val="bi"/>
                  </m:rPr>
                  <w:rPr>
                    <w:rFonts w:ascii="Cambria Math" w:hAnsi="Cambria Math"/>
                  </w:rPr>
                  <m:t>kalend</m:t>
                </m:r>
                <m:r>
                  <m:rPr>
                    <m:sty m:val="bi"/>
                  </m:rPr>
                  <w:rPr>
                    <w:rFonts w:ascii="Cambria Math" w:hAnsi="Cambria Math"/>
                  </w:rPr>
                  <m:t>ář</m:t>
                </m:r>
                <m:r>
                  <m:rPr>
                    <m:sty m:val="bi"/>
                  </m:rPr>
                  <w:rPr>
                    <w:rFonts w:ascii="Cambria Math" w:hAnsi="Cambria Math"/>
                  </w:rPr>
                  <m:t>n</m:t>
                </m:r>
                <m:r>
                  <m:rPr>
                    <m:sty m:val="bi"/>
                  </m:rPr>
                  <w:rPr>
                    <w:rFonts w:ascii="Cambria Math" w:hAnsi="Cambria Math"/>
                  </w:rPr>
                  <m:t>í</m:t>
                </m:r>
                <m:r>
                  <m:rPr>
                    <m:sty m:val="bi"/>
                  </m:rPr>
                  <w:rPr>
                    <w:rFonts w:ascii="Cambria Math" w:hAnsi="Cambria Math"/>
                  </w:rPr>
                  <m:t>ch</m:t>
                </m:r>
                <m:r>
                  <m:rPr>
                    <m:sty m:val="bi"/>
                  </m:rPr>
                  <w:rPr>
                    <w:rFonts w:ascii="Cambria Math" w:hAnsi="Cambria Math"/>
                  </w:rPr>
                  <m:t xml:space="preserve"> </m:t>
                </m:r>
                <m:r>
                  <m:rPr>
                    <m:sty m:val="bi"/>
                  </m:rPr>
                  <w:rPr>
                    <w:rFonts w:ascii="Cambria Math" w:hAnsi="Cambria Math"/>
                  </w:rPr>
                  <m:t>dn</m:t>
                </m:r>
                <m:r>
                  <m:rPr>
                    <m:sty m:val="bi"/>
                  </m:rPr>
                  <w:rPr>
                    <w:rFonts w:ascii="Cambria Math" w:hAnsi="Cambria Math"/>
                  </w:rPr>
                  <m:t xml:space="preserve">ů </m:t>
                </m:r>
                <m:r>
                  <m:rPr>
                    <m:sty m:val="bi"/>
                  </m:rPr>
                  <w:rPr>
                    <w:rFonts w:ascii="Cambria Math" w:hAnsi="Cambria Math"/>
                  </w:rPr>
                  <m:t>v</m:t>
                </m:r>
                <m:r>
                  <m:rPr>
                    <m:sty m:val="bi"/>
                  </m:rPr>
                  <w:rPr>
                    <w:rFonts w:ascii="Cambria Math" w:hAnsi="Cambria Math"/>
                  </w:rPr>
                  <m:t xml:space="preserve"> </m:t>
                </m:r>
                <m:r>
                  <m:rPr>
                    <m:sty m:val="bi"/>
                  </m:rPr>
                  <w:rPr>
                    <w:rFonts w:ascii="Cambria Math" w:hAnsi="Cambria Math"/>
                  </w:rPr>
                  <m:t>roce</m:t>
                </m:r>
                <m:r>
                  <m:rPr>
                    <m:sty m:val="bi"/>
                  </m:rPr>
                  <w:rPr>
                    <w:rFonts w:ascii="Cambria Math" w:hAnsi="Cambria Math" w:cs="Arial"/>
                  </w:rPr>
                  <m:t>×</m:t>
                </m:r>
                <m:sSub>
                  <m:sSubPr>
                    <m:ctrlPr>
                      <w:rPr>
                        <w:rFonts w:ascii="Cambria Math" w:hAnsi="Cambria Math" w:cs="Arial"/>
                        <w:b/>
                        <w:i/>
                      </w:rPr>
                    </m:ctrlPr>
                  </m:sSubPr>
                  <m:e>
                    <m:r>
                      <m:rPr>
                        <m:sty m:val="bi"/>
                      </m:rPr>
                      <w:rPr>
                        <w:rFonts w:ascii="Cambria Math" w:hAnsi="Cambria Math" w:cs="Arial"/>
                      </w:rPr>
                      <m:t>O</m:t>
                    </m:r>
                  </m:e>
                  <m:sub>
                    <m:r>
                      <m:rPr>
                        <m:sty m:val="bi"/>
                      </m:rPr>
                      <w:rPr>
                        <w:rFonts w:ascii="Cambria Math" w:hAnsi="Cambria Math" w:cs="Arial"/>
                      </w:rPr>
                      <m:t>B</m:t>
                    </m:r>
                  </m:sub>
                </m:sSub>
              </m:oMath>
            </m:oMathPara>
          </w:p>
        </w:tc>
      </w:tr>
    </w:tbl>
    <w:p w14:paraId="058B497F" w14:textId="77777777" w:rsidR="00475554" w:rsidRDefault="00157B87">
      <w:pPr>
        <w:pStyle w:val="Odstavecseseznamem"/>
        <w:numPr>
          <w:ilvl w:val="1"/>
          <w:numId w:val="6"/>
        </w:numPr>
        <w:spacing w:before="120" w:after="120"/>
        <w:ind w:left="850" w:hanging="425"/>
        <w:contextualSpacing w:val="0"/>
        <w:jc w:val="both"/>
        <w:rPr>
          <w:b/>
        </w:rPr>
      </w:pPr>
      <w:r>
        <w:rPr>
          <w:b/>
        </w:rPr>
        <w:t xml:space="preserve">Výnosy na jednotku sociální služby </w:t>
      </w:r>
      <w:r>
        <w:rPr>
          <w:rFonts w:cs="Arial"/>
          <w:b/>
        </w:rPr>
        <w:t>–</w:t>
      </w:r>
      <w:r>
        <w:rPr>
          <w:b/>
        </w:rPr>
        <w:t xml:space="preserve"> příspěvek na péči/rok = S</w:t>
      </w:r>
    </w:p>
    <w:p w14:paraId="4B8F42C9" w14:textId="77777777" w:rsidR="00475554" w:rsidRDefault="00157B87">
      <w:pPr>
        <w:spacing w:before="120" w:after="120"/>
        <w:ind w:left="1276" w:hanging="425"/>
        <w:jc w:val="both"/>
        <w:rPr>
          <w:rFonts w:cs="Arial"/>
          <w:b/>
        </w:rPr>
      </w:pPr>
      <w:r>
        <w:rPr>
          <w:rFonts w:cs="Arial"/>
          <w:b/>
        </w:rPr>
        <w:t>Východiska:</w:t>
      </w:r>
    </w:p>
    <w:p w14:paraId="5201F4F5" w14:textId="77777777" w:rsidR="00475554" w:rsidRDefault="00157B87">
      <w:pPr>
        <w:pStyle w:val="Odstavecseseznamem"/>
        <w:numPr>
          <w:ilvl w:val="0"/>
          <w:numId w:val="5"/>
        </w:numPr>
        <w:spacing w:before="120" w:after="120"/>
        <w:ind w:left="1276" w:hanging="425"/>
        <w:contextualSpacing w:val="0"/>
        <w:jc w:val="both"/>
        <w:rPr>
          <w:rFonts w:cs="Arial"/>
        </w:rPr>
      </w:pPr>
      <w:r>
        <w:rPr>
          <w:rFonts w:cs="Arial"/>
        </w:rPr>
        <w:t>Hodnota na jednotku sociální služby vypočítaná</w:t>
      </w:r>
      <w:r>
        <w:rPr>
          <w:rFonts w:cs="Arial"/>
          <w:b/>
        </w:rPr>
        <w:t xml:space="preserve"> </w:t>
      </w:r>
      <w:r>
        <w:rPr>
          <w:rFonts w:cs="Arial"/>
        </w:rPr>
        <w:t xml:space="preserve">dle stanoveného minimálního podílu uživatelů s příspěvkem na péči (dle parametru dostupnost a potřebnost sociální služby v rámci hodnocení služeb) stanoveného pro konkrétní druh sociální služby = </w:t>
      </w:r>
      <w:r>
        <w:rPr>
          <w:b/>
        </w:rPr>
        <w:t>P</w:t>
      </w:r>
      <w:r>
        <w:t>.</w:t>
      </w:r>
    </w:p>
    <w:p w14:paraId="301F2FF9" w14:textId="77777777" w:rsidR="00475554" w:rsidRDefault="00157B87">
      <w:pPr>
        <w:pStyle w:val="Odstavecseseznamem"/>
        <w:spacing w:before="120" w:after="120"/>
        <w:ind w:left="1276"/>
        <w:contextualSpacing w:val="0"/>
        <w:jc w:val="both"/>
        <w:rPr>
          <w:rFonts w:cs="Arial"/>
        </w:rPr>
      </w:pPr>
      <w:r>
        <w:t>U sociální služby druhu chráněné bydlení je aplikováno jiné východisko.</w:t>
      </w:r>
    </w:p>
    <w:p w14:paraId="37803C8C" w14:textId="77777777" w:rsidR="00475554" w:rsidRDefault="00157B87">
      <w:pPr>
        <w:pStyle w:val="Odstavecseseznamem"/>
        <w:numPr>
          <w:ilvl w:val="0"/>
          <w:numId w:val="5"/>
        </w:numPr>
        <w:spacing w:before="120" w:after="120"/>
        <w:ind w:left="1276" w:hanging="425"/>
        <w:contextualSpacing w:val="0"/>
        <w:jc w:val="both"/>
        <w:rPr>
          <w:rFonts w:cs="Arial"/>
        </w:rPr>
      </w:pPr>
      <w:r>
        <w:rPr>
          <w:rFonts w:cs="Arial"/>
        </w:rPr>
        <w:t xml:space="preserve">Minimální obložnost sociální služby (dle parametru efektivita sociální služby v rámci hodnocení služeb) stanovená pro konkrétní druh sociální služby = </w:t>
      </w:r>
      <w:r>
        <w:rPr>
          <w:b/>
        </w:rPr>
        <w:t>O</w:t>
      </w:r>
      <w:r>
        <w:rPr>
          <w:b/>
          <w:vertAlign w:val="subscript"/>
        </w:rPr>
        <w:t>B</w:t>
      </w:r>
      <w:r>
        <w:t>.</w:t>
      </w:r>
    </w:p>
    <w:tbl>
      <w:tblPr>
        <w:tblStyle w:val="Mkatabulky"/>
        <w:tblW w:w="0" w:type="auto"/>
        <w:tblInd w:w="846" w:type="dxa"/>
        <w:tblLook w:val="04A0" w:firstRow="1" w:lastRow="0" w:firstColumn="1" w:lastColumn="0" w:noHBand="0" w:noVBand="1"/>
      </w:tblPr>
      <w:tblGrid>
        <w:gridCol w:w="2693"/>
      </w:tblGrid>
      <w:tr w:rsidR="00475554" w14:paraId="103AAC0F" w14:textId="77777777">
        <w:trPr>
          <w:trHeight w:val="693"/>
        </w:trPr>
        <w:tc>
          <w:tcPr>
            <w:tcW w:w="2693" w:type="dxa"/>
          </w:tcPr>
          <w:p w14:paraId="4D9F9F93" w14:textId="77777777" w:rsidR="00475554" w:rsidRDefault="00157B87">
            <w:pPr>
              <w:spacing w:before="60" w:after="60" w:line="276" w:lineRule="auto"/>
              <w:ind w:left="34"/>
              <w:jc w:val="both"/>
              <w:rPr>
                <w:rFonts w:cs="Arial"/>
                <w:b/>
                <w:i/>
              </w:rPr>
            </w:pPr>
            <w:r>
              <w:rPr>
                <w:rFonts w:cs="Arial"/>
                <w:b/>
                <w:i/>
              </w:rPr>
              <w:t xml:space="preserve">Vzorec: </w:t>
            </w:r>
          </w:p>
          <w:p w14:paraId="7FB9A6A3" w14:textId="77777777" w:rsidR="00475554" w:rsidRDefault="00157B87">
            <w:pPr>
              <w:pStyle w:val="Odstavecseseznamem"/>
              <w:spacing w:before="60" w:after="60" w:line="276" w:lineRule="auto"/>
              <w:ind w:left="34"/>
              <w:contextualSpacing w:val="0"/>
              <w:jc w:val="both"/>
              <w:rPr>
                <w:rFonts w:cs="Arial"/>
              </w:rPr>
            </w:pPr>
            <m:oMathPara>
              <m:oMath>
                <m:r>
                  <m:rPr>
                    <m:sty m:val="bi"/>
                  </m:rPr>
                  <w:rPr>
                    <w:rFonts w:ascii="Cambria Math" w:hAnsi="Cambria Math" w:cs="Arial"/>
                  </w:rPr>
                  <m:t>S=P ×12×</m:t>
                </m:r>
                <m:sSub>
                  <m:sSubPr>
                    <m:ctrlPr>
                      <w:rPr>
                        <w:rFonts w:ascii="Cambria Math" w:hAnsi="Cambria Math" w:cs="Arial"/>
                        <w:b/>
                        <w:i/>
                      </w:rPr>
                    </m:ctrlPr>
                  </m:sSubPr>
                  <m:e>
                    <m:r>
                      <m:rPr>
                        <m:sty m:val="bi"/>
                      </m:rPr>
                      <w:rPr>
                        <w:rFonts w:ascii="Cambria Math" w:hAnsi="Cambria Math" w:cs="Arial"/>
                      </w:rPr>
                      <m:t>O</m:t>
                    </m:r>
                  </m:e>
                  <m:sub>
                    <m:r>
                      <m:rPr>
                        <m:sty m:val="bi"/>
                      </m:rPr>
                      <w:rPr>
                        <w:rFonts w:ascii="Cambria Math" w:hAnsi="Cambria Math" w:cs="Arial"/>
                      </w:rPr>
                      <m:t>B</m:t>
                    </m:r>
                  </m:sub>
                </m:sSub>
              </m:oMath>
            </m:oMathPara>
          </w:p>
        </w:tc>
      </w:tr>
    </w:tbl>
    <w:p w14:paraId="35E78435" w14:textId="77777777" w:rsidR="00475554" w:rsidRDefault="00157B87">
      <w:pPr>
        <w:spacing w:before="120" w:after="120"/>
        <w:ind w:left="425"/>
        <w:jc w:val="both"/>
        <w:rPr>
          <w:rFonts w:cs="Arial"/>
        </w:rPr>
      </w:pPr>
      <w:r>
        <w:rPr>
          <w:rFonts w:cs="Arial"/>
          <w:b/>
        </w:rPr>
        <w:t>Obvyklé roční výnosy od uživatelů na jednotku pobytové služby</w:t>
      </w:r>
      <w:r>
        <w:rPr>
          <w:b/>
        </w:rPr>
        <w:t xml:space="preserve"> sociální péče</w:t>
      </w:r>
      <w:r>
        <w:rPr>
          <w:rFonts w:cs="Arial"/>
        </w:rPr>
        <w:t xml:space="preserve"> (mimo sociální službu druhu chráněné bydlení) se stanoví jako součet úhrad definovaných dle 1. a 3. bodu.</w:t>
      </w:r>
    </w:p>
    <w:tbl>
      <w:tblPr>
        <w:tblStyle w:val="Mkatabulky"/>
        <w:tblW w:w="0" w:type="auto"/>
        <w:tblInd w:w="1007" w:type="dxa"/>
        <w:tblLook w:val="04A0" w:firstRow="1" w:lastRow="0" w:firstColumn="1" w:lastColumn="0" w:noHBand="0" w:noVBand="1"/>
      </w:tblPr>
      <w:tblGrid>
        <w:gridCol w:w="3118"/>
      </w:tblGrid>
      <w:tr w:rsidR="00475554" w14:paraId="645B87D0" w14:textId="77777777" w:rsidTr="0056124C">
        <w:trPr>
          <w:trHeight w:val="704"/>
        </w:trPr>
        <w:tc>
          <w:tcPr>
            <w:tcW w:w="3118" w:type="dxa"/>
          </w:tcPr>
          <w:p w14:paraId="0DC7A70B" w14:textId="77777777" w:rsidR="00475554" w:rsidRDefault="00157B87">
            <w:pPr>
              <w:spacing w:before="60" w:after="60" w:line="276" w:lineRule="auto"/>
              <w:ind w:left="34"/>
              <w:jc w:val="both"/>
              <w:rPr>
                <w:rFonts w:cs="Arial"/>
                <w:b/>
                <w:i/>
              </w:rPr>
            </w:pPr>
            <w:r>
              <w:rPr>
                <w:rFonts w:cs="Arial"/>
                <w:b/>
                <w:i/>
              </w:rPr>
              <w:t>Vzorec:</w:t>
            </w:r>
          </w:p>
          <w:p w14:paraId="3F6016E8" w14:textId="77777777" w:rsidR="00475554" w:rsidRDefault="00B67ACF">
            <w:pPr>
              <w:spacing w:before="60" w:after="60" w:line="276" w:lineRule="auto"/>
              <w:jc w:val="both"/>
              <w:rPr>
                <w:rFonts w:cs="Arial"/>
                <w:b/>
              </w:rPr>
            </w:pPr>
            <m:oMathPara>
              <m:oMath>
                <m:sSub>
                  <m:sSubPr>
                    <m:ctrlPr>
                      <w:rPr>
                        <w:rFonts w:ascii="Cambria Math" w:hAnsi="Cambria Math" w:cs="Arial"/>
                        <w:b/>
                        <w:i/>
                      </w:rPr>
                    </m:ctrlPr>
                  </m:sSubPr>
                  <m:e>
                    <m:r>
                      <m:rPr>
                        <m:sty m:val="bi"/>
                      </m:rPr>
                      <w:rPr>
                        <w:rFonts w:ascii="Cambria Math" w:hAnsi="Cambria Math" w:cs="Arial"/>
                      </w:rPr>
                      <m:t>V</m:t>
                    </m:r>
                  </m:e>
                  <m:sub>
                    <m:r>
                      <m:rPr>
                        <m:sty m:val="bi"/>
                      </m:rPr>
                      <w:rPr>
                        <w:rFonts w:ascii="Cambria Math" w:hAnsi="Cambria Math" w:cs="Arial"/>
                      </w:rPr>
                      <m:t>UP</m:t>
                    </m:r>
                  </m:sub>
                </m:sSub>
                <m:r>
                  <m:rPr>
                    <m:sty m:val="bi"/>
                  </m:rPr>
                  <w:rPr>
                    <w:rFonts w:ascii="Cambria Math" w:hAnsi="Cambria Math" w:cs="Arial"/>
                  </w:rPr>
                  <m:t>=</m:t>
                </m:r>
                <m:r>
                  <m:rPr>
                    <m:sty m:val="bi"/>
                  </m:rPr>
                  <w:rPr>
                    <w:rFonts w:ascii="Cambria Math" w:hAnsi="Cambria Math" w:cs="Arial"/>
                  </w:rPr>
                  <m:t>U</m:t>
                </m:r>
                <m:r>
                  <m:rPr>
                    <m:sty m:val="bi"/>
                  </m:rPr>
                  <w:rPr>
                    <w:rFonts w:ascii="Cambria Math" w:hAnsi="Cambria Math" w:cs="Arial"/>
                  </w:rPr>
                  <m:t>+</m:t>
                </m:r>
                <m:r>
                  <m:rPr>
                    <m:sty m:val="bi"/>
                  </m:rPr>
                  <w:rPr>
                    <w:rFonts w:ascii="Cambria Math" w:hAnsi="Cambria Math"/>
                  </w:rPr>
                  <m:t>S</m:t>
                </m:r>
              </m:oMath>
            </m:oMathPara>
          </w:p>
        </w:tc>
      </w:tr>
    </w:tbl>
    <w:p w14:paraId="267625FC" w14:textId="77777777" w:rsidR="00475554" w:rsidRDefault="00157B87">
      <w:pPr>
        <w:spacing w:before="120" w:after="120"/>
        <w:ind w:left="425"/>
        <w:jc w:val="both"/>
        <w:rPr>
          <w:rFonts w:cs="Arial"/>
        </w:rPr>
      </w:pPr>
      <w:r>
        <w:rPr>
          <w:rFonts w:cs="Arial"/>
          <w:b/>
        </w:rPr>
        <w:t>Obvyklé roční výnosy od uživatelů na jednotku pobytové služby sociální péče</w:t>
      </w:r>
      <w:r>
        <w:rPr>
          <w:rFonts w:cs="Arial"/>
        </w:rPr>
        <w:t xml:space="preserve"> u sociální služby druhu chráněné bydlení se stanoví jako součet úhrad definovaných dle 2. a 3. bodu.</w:t>
      </w:r>
    </w:p>
    <w:tbl>
      <w:tblPr>
        <w:tblStyle w:val="Mkatabulky"/>
        <w:tblW w:w="0" w:type="auto"/>
        <w:tblInd w:w="962" w:type="dxa"/>
        <w:tblLook w:val="04A0" w:firstRow="1" w:lastRow="0" w:firstColumn="1" w:lastColumn="0" w:noHBand="0" w:noVBand="1"/>
      </w:tblPr>
      <w:tblGrid>
        <w:gridCol w:w="3118"/>
      </w:tblGrid>
      <w:tr w:rsidR="00475554" w14:paraId="620B4002" w14:textId="77777777" w:rsidTr="0056124C">
        <w:trPr>
          <w:trHeight w:val="752"/>
        </w:trPr>
        <w:tc>
          <w:tcPr>
            <w:tcW w:w="3118" w:type="dxa"/>
          </w:tcPr>
          <w:p w14:paraId="1D9BEBD9" w14:textId="77777777" w:rsidR="00475554" w:rsidRDefault="00157B87">
            <w:pPr>
              <w:spacing w:before="60" w:after="60" w:line="276" w:lineRule="auto"/>
              <w:ind w:left="34"/>
              <w:jc w:val="both"/>
              <w:rPr>
                <w:rFonts w:cs="Arial"/>
                <w:b/>
                <w:i/>
              </w:rPr>
            </w:pPr>
            <w:r>
              <w:rPr>
                <w:rFonts w:cs="Arial"/>
                <w:b/>
                <w:i/>
              </w:rPr>
              <w:lastRenderedPageBreak/>
              <w:t>Vzorec:</w:t>
            </w:r>
          </w:p>
          <w:p w14:paraId="01B39943" w14:textId="77777777" w:rsidR="00475554" w:rsidRDefault="00B67ACF">
            <w:pPr>
              <w:spacing w:before="60" w:after="60" w:line="276" w:lineRule="auto"/>
              <w:ind w:left="34"/>
              <w:jc w:val="both"/>
              <w:rPr>
                <w:rFonts w:cs="Arial"/>
              </w:rPr>
            </w:pPr>
            <m:oMathPara>
              <m:oMath>
                <m:sSub>
                  <m:sSubPr>
                    <m:ctrlPr>
                      <w:rPr>
                        <w:rFonts w:ascii="Cambria Math" w:hAnsi="Cambria Math" w:cs="Arial"/>
                        <w:b/>
                        <w:i/>
                      </w:rPr>
                    </m:ctrlPr>
                  </m:sSubPr>
                  <m:e>
                    <m:r>
                      <m:rPr>
                        <m:sty m:val="bi"/>
                      </m:rPr>
                      <w:rPr>
                        <w:rFonts w:ascii="Cambria Math" w:hAnsi="Cambria Math" w:cs="Arial"/>
                      </w:rPr>
                      <m:t>V</m:t>
                    </m:r>
                  </m:e>
                  <m:sub>
                    <m:r>
                      <m:rPr>
                        <m:sty m:val="bi"/>
                      </m:rPr>
                      <w:rPr>
                        <w:rFonts w:ascii="Cambria Math" w:hAnsi="Cambria Math" w:cs="Arial"/>
                      </w:rPr>
                      <m:t>UCH</m:t>
                    </m:r>
                  </m:sub>
                </m:sSub>
                <m:r>
                  <m:rPr>
                    <m:sty m:val="bi"/>
                  </m:rPr>
                  <w:rPr>
                    <w:rFonts w:ascii="Cambria Math" w:hAnsi="Cambria Math" w:cs="Arial"/>
                  </w:rPr>
                  <m:t>=</m:t>
                </m:r>
                <m:sSub>
                  <m:sSubPr>
                    <m:ctrlPr>
                      <w:rPr>
                        <w:rFonts w:ascii="Cambria Math" w:hAnsi="Cambria Math" w:cs="Arial"/>
                        <w:b/>
                        <w:i/>
                      </w:rPr>
                    </m:ctrlPr>
                  </m:sSubPr>
                  <m:e>
                    <m:r>
                      <m:rPr>
                        <m:sty m:val="bi"/>
                      </m:rPr>
                      <w:rPr>
                        <w:rFonts w:ascii="Cambria Math" w:hAnsi="Cambria Math" w:cs="Arial"/>
                      </w:rPr>
                      <m:t>U</m:t>
                    </m:r>
                  </m:e>
                  <m:sub>
                    <m:r>
                      <m:rPr>
                        <m:sty m:val="bi"/>
                      </m:rPr>
                      <w:rPr>
                        <w:rFonts w:ascii="Cambria Math" w:hAnsi="Cambria Math" w:cs="Arial"/>
                      </w:rPr>
                      <m:t>CH</m:t>
                    </m:r>
                  </m:sub>
                </m:sSub>
                <m:r>
                  <m:rPr>
                    <m:sty m:val="bi"/>
                  </m:rPr>
                  <w:rPr>
                    <w:rFonts w:ascii="Cambria Math" w:hAnsi="Cambria Math" w:cs="Arial"/>
                  </w:rPr>
                  <m:t>+</m:t>
                </m:r>
                <m:r>
                  <m:rPr>
                    <m:sty m:val="bi"/>
                  </m:rPr>
                  <w:rPr>
                    <w:rFonts w:ascii="Cambria Math" w:hAnsi="Cambria Math" w:cs="Arial"/>
                  </w:rPr>
                  <m:t>S</m:t>
                </m:r>
              </m:oMath>
            </m:oMathPara>
          </w:p>
        </w:tc>
      </w:tr>
    </w:tbl>
    <w:p w14:paraId="64A36E0F" w14:textId="77777777" w:rsidR="00475554" w:rsidRDefault="00157B87">
      <w:pPr>
        <w:pStyle w:val="Odstavecseseznamem"/>
        <w:numPr>
          <w:ilvl w:val="0"/>
          <w:numId w:val="6"/>
        </w:numPr>
        <w:spacing w:before="120" w:after="120"/>
        <w:ind w:left="425" w:hanging="425"/>
        <w:contextualSpacing w:val="0"/>
        <w:jc w:val="both"/>
        <w:rPr>
          <w:rFonts w:cs="Arial"/>
          <w:b/>
        </w:rPr>
      </w:pPr>
      <w:r>
        <w:rPr>
          <w:rFonts w:cs="Arial"/>
          <w:b/>
        </w:rPr>
        <w:t xml:space="preserve">Výnosy od zdravotních pojišťoven = </w:t>
      </w:r>
      <w:r>
        <w:rPr>
          <w:b/>
        </w:rPr>
        <w:t>V</w:t>
      </w:r>
      <w:r>
        <w:rPr>
          <w:b/>
          <w:vertAlign w:val="subscript"/>
        </w:rPr>
        <w:t>ZP</w:t>
      </w:r>
    </w:p>
    <w:p w14:paraId="6CC2246A" w14:textId="77777777" w:rsidR="00475554" w:rsidRDefault="00157B87">
      <w:pPr>
        <w:pStyle w:val="Odstavecseseznamem"/>
        <w:spacing w:before="120" w:after="120"/>
        <w:ind w:left="425"/>
        <w:contextualSpacing w:val="0"/>
        <w:jc w:val="both"/>
        <w:rPr>
          <w:rFonts w:cs="Arial"/>
        </w:rPr>
      </w:pPr>
      <w:r>
        <w:rPr>
          <w:rFonts w:cs="Arial"/>
        </w:rPr>
        <w:t>Podíl ročních výnosů je modelován na základě výstupů z analýz u pobytových služeb sociální péče na stanovenou jednotku sociální služby.</w:t>
      </w:r>
    </w:p>
    <w:p w14:paraId="6EFBF715" w14:textId="77777777" w:rsidR="00475554" w:rsidRDefault="00157B87">
      <w:pPr>
        <w:pStyle w:val="Odstavecseseznamem"/>
        <w:numPr>
          <w:ilvl w:val="0"/>
          <w:numId w:val="6"/>
        </w:numPr>
        <w:spacing w:before="120" w:after="120"/>
        <w:ind w:left="426" w:hanging="426"/>
        <w:contextualSpacing w:val="0"/>
        <w:jc w:val="both"/>
        <w:rPr>
          <w:b/>
        </w:rPr>
      </w:pPr>
      <w:r>
        <w:rPr>
          <w:b/>
        </w:rPr>
        <w:t>Ostatní výnosy = V</w:t>
      </w:r>
      <w:r>
        <w:rPr>
          <w:b/>
          <w:vertAlign w:val="subscript"/>
        </w:rPr>
        <w:t>O</w:t>
      </w:r>
    </w:p>
    <w:p w14:paraId="5342D524" w14:textId="391EA690" w:rsidR="00475554" w:rsidRDefault="00157B87" w:rsidP="440ABA4D">
      <w:pPr>
        <w:pStyle w:val="Odstavecseseznamem"/>
        <w:spacing w:before="120" w:after="120"/>
        <w:ind w:left="425"/>
        <w:jc w:val="both"/>
      </w:pPr>
      <w:r>
        <w:rPr>
          <w:spacing w:val="-6"/>
        </w:rPr>
        <w:t>Ostatní výnosy zahrnují dary, výnosy z Nadací a nadačních fondů, zisky z let minulých apod.</w:t>
      </w:r>
    </w:p>
    <w:p w14:paraId="45F7B14D" w14:textId="77777777" w:rsidR="00475554" w:rsidRDefault="00157B87">
      <w:pPr>
        <w:pStyle w:val="Odstavecseseznamem"/>
        <w:spacing w:before="120" w:after="120"/>
        <w:ind w:left="425"/>
        <w:contextualSpacing w:val="0"/>
        <w:jc w:val="both"/>
        <w:rPr>
          <w:rFonts w:cs="Arial"/>
        </w:rPr>
      </w:pPr>
      <w:r w:rsidRPr="00873CEC">
        <w:rPr>
          <w:rFonts w:cs="Arial"/>
        </w:rPr>
        <w:t>Ostatní výnosy jsou modelovány na základě analýzy zdrojů sociálních služeb na stanovenou jednotku sociální služby.</w:t>
      </w:r>
    </w:p>
    <w:p w14:paraId="4A59AE0A" w14:textId="77777777" w:rsidR="00475554" w:rsidRDefault="00475554">
      <w:pPr>
        <w:spacing w:before="120" w:after="120"/>
        <w:jc w:val="both"/>
      </w:pPr>
    </w:p>
    <w:p w14:paraId="6D769204" w14:textId="77777777" w:rsidR="00475554" w:rsidRDefault="00157B87">
      <w:pPr>
        <w:spacing w:before="120" w:after="120"/>
        <w:jc w:val="both"/>
        <w:rPr>
          <w:b/>
        </w:rPr>
      </w:pPr>
      <w:r>
        <w:rPr>
          <w:b/>
        </w:rPr>
        <w:t>Obvyklé roční výnosy pobytových služeb sociální péče se stanoví jako součet jednotlivých výnosů sociální služby na stanovenou jednotku násobeno celkovým počtem jednotek sociální služby dle Akčního plánu pro daný rok.</w:t>
      </w:r>
    </w:p>
    <w:p w14:paraId="78CCA23B" w14:textId="77777777" w:rsidR="00475554" w:rsidRDefault="00475554">
      <w:pPr>
        <w:spacing w:before="120" w:after="120"/>
        <w:jc w:val="both"/>
      </w:pPr>
    </w:p>
    <w:p w14:paraId="5D789829" w14:textId="2F17153B" w:rsidR="00475554" w:rsidRDefault="00157B87">
      <w:pPr>
        <w:pStyle w:val="Titulek"/>
        <w:spacing w:before="120" w:after="120" w:line="276" w:lineRule="auto"/>
        <w:jc w:val="both"/>
        <w:rPr>
          <w:b w:val="0"/>
          <w:color w:val="000000" w:themeColor="text1"/>
          <w:spacing w:val="-2"/>
          <w:sz w:val="22"/>
          <w:szCs w:val="22"/>
        </w:rPr>
      </w:pPr>
      <w:bookmarkStart w:id="68" w:name="_Toc230769882"/>
      <w:r>
        <w:rPr>
          <w:color w:val="000000" w:themeColor="text1"/>
          <w:sz w:val="22"/>
          <w:szCs w:val="22"/>
        </w:rPr>
        <w:t>Tabulka č. </w:t>
      </w:r>
      <w:r>
        <w:rPr>
          <w:color w:val="000000" w:themeColor="text1"/>
          <w:sz w:val="22"/>
          <w:szCs w:val="22"/>
        </w:rPr>
        <w:fldChar w:fldCharType="begin"/>
      </w:r>
      <w:r>
        <w:rPr>
          <w:color w:val="000000" w:themeColor="text1"/>
          <w:sz w:val="22"/>
          <w:szCs w:val="22"/>
        </w:rPr>
        <w:instrText xml:space="preserve"> SEQ Tabulka_č. \* ARABIC </w:instrText>
      </w:r>
      <w:r>
        <w:rPr>
          <w:color w:val="000000" w:themeColor="text1"/>
          <w:sz w:val="22"/>
          <w:szCs w:val="22"/>
        </w:rPr>
        <w:fldChar w:fldCharType="separate"/>
      </w:r>
      <w:r w:rsidR="000A1D98">
        <w:rPr>
          <w:noProof/>
          <w:color w:val="000000" w:themeColor="text1"/>
          <w:sz w:val="22"/>
          <w:szCs w:val="22"/>
        </w:rPr>
        <w:t>1</w:t>
      </w:r>
      <w:r>
        <w:rPr>
          <w:color w:val="000000" w:themeColor="text1"/>
          <w:sz w:val="22"/>
          <w:szCs w:val="22"/>
        </w:rPr>
        <w:fldChar w:fldCharType="end"/>
      </w:r>
      <w:r>
        <w:rPr>
          <w:color w:val="000000" w:themeColor="text1"/>
          <w:spacing w:val="-2"/>
          <w:sz w:val="22"/>
          <w:szCs w:val="22"/>
        </w:rPr>
        <w:t>:</w:t>
      </w:r>
      <w:r>
        <w:rPr>
          <w:b w:val="0"/>
          <w:bCs w:val="0"/>
          <w:color w:val="000000" w:themeColor="text1"/>
          <w:spacing w:val="-2"/>
          <w:sz w:val="22"/>
          <w:szCs w:val="22"/>
        </w:rPr>
        <w:t xml:space="preserve"> Znázornění výpočtu</w:t>
      </w:r>
      <w:r>
        <w:rPr>
          <w:b w:val="0"/>
          <w:color w:val="000000" w:themeColor="text1"/>
          <w:spacing w:val="-2"/>
          <w:sz w:val="22"/>
          <w:szCs w:val="22"/>
        </w:rPr>
        <w:t xml:space="preserve"> obvyklých výnosů pro konkrétní druhy pobytových služeb sociální péče</w:t>
      </w:r>
      <w:bookmarkEnd w:id="68"/>
    </w:p>
    <w:tbl>
      <w:tblPr>
        <w:tblW w:w="9072" w:type="dxa"/>
        <w:tblInd w:w="-5" w:type="dxa"/>
        <w:tblCellMar>
          <w:left w:w="70" w:type="dxa"/>
          <w:right w:w="70" w:type="dxa"/>
        </w:tblCellMar>
        <w:tblLook w:val="04A0" w:firstRow="1" w:lastRow="0" w:firstColumn="1" w:lastColumn="0" w:noHBand="0" w:noVBand="1"/>
      </w:tblPr>
      <w:tblGrid>
        <w:gridCol w:w="4611"/>
        <w:gridCol w:w="4461"/>
      </w:tblGrid>
      <w:tr w:rsidR="00475554" w14:paraId="0E94F0E3" w14:textId="77777777">
        <w:trPr>
          <w:cantSplit/>
          <w:trHeight w:val="454"/>
          <w:tblHeader/>
        </w:trPr>
        <w:tc>
          <w:tcPr>
            <w:tcW w:w="461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767237EE"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Druh sociální služby</w:t>
            </w:r>
          </w:p>
        </w:tc>
        <w:tc>
          <w:tcPr>
            <w:tcW w:w="4461"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16D899E7"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Vzorec</w:t>
            </w:r>
          </w:p>
        </w:tc>
      </w:tr>
      <w:tr w:rsidR="00475554" w14:paraId="4FD2AA2A" w14:textId="77777777">
        <w:trPr>
          <w:cantSplit/>
          <w:trHeight w:val="454"/>
        </w:trPr>
        <w:tc>
          <w:tcPr>
            <w:tcW w:w="4611" w:type="dxa"/>
            <w:tcBorders>
              <w:top w:val="single" w:sz="4" w:space="0" w:color="auto"/>
              <w:left w:val="single" w:sz="4" w:space="0" w:color="auto"/>
              <w:bottom w:val="single" w:sz="4" w:space="0" w:color="auto"/>
              <w:right w:val="single" w:sz="4" w:space="0" w:color="auto"/>
            </w:tcBorders>
            <w:noWrap/>
            <w:vAlign w:val="center"/>
          </w:tcPr>
          <w:p w14:paraId="02E9F043" w14:textId="77777777" w:rsidR="00475554" w:rsidRDefault="00157B87">
            <w:pPr>
              <w:spacing w:before="60" w:after="60" w:line="240" w:lineRule="auto"/>
              <w:rPr>
                <w:rFonts w:ascii="Calibri" w:eastAsiaTheme="minorHAnsi" w:hAnsi="Calibri"/>
                <w:color w:val="000000"/>
                <w:sz w:val="20"/>
                <w:szCs w:val="20"/>
              </w:rPr>
            </w:pPr>
            <w:r>
              <w:rPr>
                <w:rFonts w:ascii="Calibri" w:eastAsiaTheme="minorHAnsi" w:hAnsi="Calibri"/>
                <w:color w:val="000000"/>
                <w:sz w:val="20"/>
                <w:szCs w:val="20"/>
              </w:rPr>
              <w:t>Domovy pro osoby se zdravotním postižením</w:t>
            </w:r>
          </w:p>
          <w:p w14:paraId="63B2EBDE" w14:textId="77777777" w:rsidR="00475554" w:rsidRDefault="00157B87">
            <w:pPr>
              <w:spacing w:before="60" w:after="60" w:line="240" w:lineRule="auto"/>
              <w:rPr>
                <w:rFonts w:ascii="Calibri" w:eastAsiaTheme="minorHAnsi" w:hAnsi="Calibri"/>
                <w:color w:val="000000"/>
                <w:sz w:val="20"/>
                <w:szCs w:val="20"/>
              </w:rPr>
            </w:pPr>
            <w:r>
              <w:rPr>
                <w:rFonts w:ascii="Calibri" w:eastAsiaTheme="minorHAnsi" w:hAnsi="Calibri"/>
                <w:color w:val="000000"/>
                <w:sz w:val="20"/>
                <w:szCs w:val="20"/>
              </w:rPr>
              <w:t>Domovy pro seniory</w:t>
            </w:r>
          </w:p>
          <w:p w14:paraId="620F7FF6" w14:textId="77777777" w:rsidR="00475554" w:rsidRDefault="00157B87">
            <w:pPr>
              <w:spacing w:before="60" w:after="60" w:line="240" w:lineRule="auto"/>
              <w:rPr>
                <w:rFonts w:ascii="Calibri" w:eastAsiaTheme="minorHAnsi" w:hAnsi="Calibri"/>
                <w:color w:val="000000"/>
                <w:sz w:val="20"/>
                <w:szCs w:val="20"/>
              </w:rPr>
            </w:pPr>
            <w:r>
              <w:rPr>
                <w:rFonts w:ascii="Calibri" w:eastAsiaTheme="minorHAnsi" w:hAnsi="Calibri"/>
                <w:color w:val="000000"/>
                <w:sz w:val="20"/>
                <w:szCs w:val="20"/>
              </w:rPr>
              <w:t>Domovy se zvláštním režimem</w:t>
            </w:r>
          </w:p>
          <w:p w14:paraId="07ACE8D2" w14:textId="77777777" w:rsidR="00475554" w:rsidRDefault="00157B87">
            <w:pPr>
              <w:spacing w:before="60" w:after="60" w:line="240" w:lineRule="auto"/>
              <w:rPr>
                <w:rFonts w:ascii="Calibri" w:eastAsiaTheme="minorHAnsi" w:hAnsi="Calibri"/>
                <w:color w:val="000000"/>
                <w:sz w:val="20"/>
                <w:szCs w:val="20"/>
              </w:rPr>
            </w:pPr>
            <w:r>
              <w:rPr>
                <w:rFonts w:ascii="Calibri" w:hAnsi="Calibri"/>
                <w:color w:val="000000"/>
                <w:sz w:val="20"/>
                <w:szCs w:val="20"/>
              </w:rPr>
              <w:t>Sociální služby poskytované ve zdravotnických zařízeních lůžkové péče</w:t>
            </w:r>
          </w:p>
        </w:tc>
        <w:tc>
          <w:tcPr>
            <w:tcW w:w="4461" w:type="dxa"/>
            <w:tcBorders>
              <w:top w:val="single" w:sz="4" w:space="0" w:color="auto"/>
              <w:left w:val="nil"/>
              <w:bottom w:val="single" w:sz="4" w:space="0" w:color="auto"/>
              <w:right w:val="single" w:sz="4" w:space="0" w:color="auto"/>
            </w:tcBorders>
            <w:noWrap/>
            <w:vAlign w:val="center"/>
          </w:tcPr>
          <w:p w14:paraId="0F6C7BB6" w14:textId="77777777" w:rsidR="00475554" w:rsidRDefault="00157B87">
            <w:pPr>
              <w:spacing w:before="60" w:after="60" w:line="240" w:lineRule="auto"/>
              <w:rPr>
                <w:rFonts w:ascii="Calibri" w:eastAsiaTheme="minorHAnsi" w:hAnsi="Calibri"/>
                <w:b/>
                <w:color w:val="000000"/>
                <w:spacing w:val="-4"/>
                <w:sz w:val="20"/>
                <w:szCs w:val="20"/>
              </w:rPr>
            </w:pPr>
            <w:r>
              <w:rPr>
                <w:rFonts w:ascii="Calibri" w:hAnsi="Calibri"/>
                <w:b/>
                <w:color w:val="000000"/>
                <w:spacing w:val="-4"/>
                <w:sz w:val="20"/>
                <w:szCs w:val="20"/>
              </w:rPr>
              <w:t>(</w:t>
            </w:r>
            <w:r>
              <w:rPr>
                <w:rFonts w:ascii="Calibri" w:hAnsi="Calibri" w:cs="Arial"/>
                <w:b/>
                <w:spacing w:val="-4"/>
                <w:sz w:val="20"/>
                <w:szCs w:val="20"/>
              </w:rPr>
              <w:t>V</w:t>
            </w:r>
            <w:r>
              <w:rPr>
                <w:rFonts w:ascii="Calibri" w:hAnsi="Calibri"/>
                <w:b/>
                <w:spacing w:val="-4"/>
                <w:sz w:val="20"/>
                <w:szCs w:val="20"/>
                <w:vertAlign w:val="subscript"/>
              </w:rPr>
              <w:t>UP</w:t>
            </w:r>
            <w:r>
              <w:rPr>
                <w:rFonts w:ascii="Calibri" w:hAnsi="Calibri"/>
                <w:b/>
                <w:color w:val="000000"/>
                <w:spacing w:val="-4"/>
                <w:sz w:val="20"/>
                <w:szCs w:val="20"/>
              </w:rPr>
              <w:t xml:space="preserve"> +</w:t>
            </w:r>
            <w:r>
              <w:rPr>
                <w:rFonts w:ascii="Calibri" w:hAnsi="Calibri"/>
                <w:b/>
                <w:spacing w:val="-4"/>
                <w:sz w:val="20"/>
                <w:szCs w:val="20"/>
              </w:rPr>
              <w:t xml:space="preserve"> V</w:t>
            </w:r>
            <w:r>
              <w:rPr>
                <w:rFonts w:ascii="Calibri" w:hAnsi="Calibri"/>
                <w:b/>
                <w:spacing w:val="-4"/>
                <w:sz w:val="20"/>
                <w:szCs w:val="20"/>
                <w:vertAlign w:val="subscript"/>
              </w:rPr>
              <w:t>ZP</w:t>
            </w:r>
            <w:r>
              <w:rPr>
                <w:rFonts w:ascii="Calibri" w:hAnsi="Calibri"/>
                <w:b/>
                <w:color w:val="000000"/>
                <w:spacing w:val="-4"/>
                <w:sz w:val="20"/>
                <w:szCs w:val="20"/>
              </w:rPr>
              <w:t xml:space="preserve"> + </w:t>
            </w:r>
            <w:r>
              <w:rPr>
                <w:rFonts w:ascii="Calibri" w:hAnsi="Calibri"/>
                <w:b/>
                <w:spacing w:val="-4"/>
                <w:sz w:val="20"/>
                <w:szCs w:val="20"/>
              </w:rPr>
              <w:t>V</w:t>
            </w:r>
            <w:r>
              <w:rPr>
                <w:rFonts w:ascii="Calibri" w:hAnsi="Calibri"/>
                <w:b/>
                <w:spacing w:val="-4"/>
                <w:sz w:val="20"/>
                <w:szCs w:val="20"/>
                <w:vertAlign w:val="subscript"/>
              </w:rPr>
              <w:t>O</w:t>
            </w:r>
            <w:r>
              <w:rPr>
                <w:rFonts w:ascii="Calibri" w:hAnsi="Calibri"/>
                <w:b/>
                <w:color w:val="000000"/>
                <w:spacing w:val="-4"/>
                <w:sz w:val="20"/>
                <w:szCs w:val="20"/>
              </w:rPr>
              <w:t>) x celkový počet jednotek služby dle AP</w:t>
            </w:r>
          </w:p>
        </w:tc>
      </w:tr>
      <w:tr w:rsidR="00475554" w14:paraId="538BDAD3" w14:textId="77777777">
        <w:trPr>
          <w:cantSplit/>
          <w:trHeight w:val="454"/>
        </w:trPr>
        <w:tc>
          <w:tcPr>
            <w:tcW w:w="4611" w:type="dxa"/>
            <w:tcBorders>
              <w:top w:val="single" w:sz="4" w:space="0" w:color="auto"/>
              <w:left w:val="single" w:sz="4" w:space="0" w:color="auto"/>
              <w:bottom w:val="single" w:sz="4" w:space="0" w:color="auto"/>
              <w:right w:val="single" w:sz="4" w:space="0" w:color="auto"/>
            </w:tcBorders>
            <w:noWrap/>
            <w:vAlign w:val="center"/>
          </w:tcPr>
          <w:p w14:paraId="5FD6FE2C"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Chráněné bydlení</w:t>
            </w:r>
          </w:p>
        </w:tc>
        <w:tc>
          <w:tcPr>
            <w:tcW w:w="4461" w:type="dxa"/>
            <w:tcBorders>
              <w:top w:val="single" w:sz="4" w:space="0" w:color="auto"/>
              <w:left w:val="nil"/>
              <w:bottom w:val="single" w:sz="4" w:space="0" w:color="auto"/>
              <w:right w:val="single" w:sz="4" w:space="0" w:color="auto"/>
            </w:tcBorders>
            <w:noWrap/>
            <w:vAlign w:val="center"/>
          </w:tcPr>
          <w:p w14:paraId="55E1D3EC" w14:textId="77777777" w:rsidR="00475554" w:rsidRDefault="00157B87">
            <w:pPr>
              <w:spacing w:before="60" w:after="60" w:line="240" w:lineRule="auto"/>
              <w:rPr>
                <w:rFonts w:ascii="Calibri" w:hAnsi="Calibri"/>
                <w:b/>
                <w:color w:val="000000"/>
                <w:sz w:val="20"/>
                <w:szCs w:val="20"/>
              </w:rPr>
            </w:pPr>
            <w:r>
              <w:rPr>
                <w:rFonts w:ascii="Calibri" w:hAnsi="Calibri"/>
                <w:b/>
                <w:color w:val="000000"/>
                <w:sz w:val="20"/>
                <w:szCs w:val="20"/>
              </w:rPr>
              <w:t>(</w:t>
            </w:r>
            <w:r>
              <w:rPr>
                <w:rFonts w:cs="Arial"/>
                <w:b/>
                <w:sz w:val="20"/>
                <w:szCs w:val="20"/>
              </w:rPr>
              <w:t>V</w:t>
            </w:r>
            <w:r>
              <w:rPr>
                <w:rFonts w:cs="Arial"/>
                <w:b/>
                <w:sz w:val="20"/>
                <w:szCs w:val="20"/>
                <w:vertAlign w:val="subscript"/>
              </w:rPr>
              <w:t>UCH</w:t>
            </w:r>
            <w:r>
              <w:rPr>
                <w:rFonts w:ascii="Calibri" w:hAnsi="Calibri"/>
                <w:b/>
                <w:color w:val="000000"/>
                <w:sz w:val="20"/>
                <w:szCs w:val="20"/>
              </w:rPr>
              <w:t xml:space="preserve"> + </w:t>
            </w:r>
            <w:r>
              <w:rPr>
                <w:b/>
                <w:sz w:val="20"/>
                <w:szCs w:val="20"/>
              </w:rPr>
              <w:t>V</w:t>
            </w:r>
            <w:r>
              <w:rPr>
                <w:b/>
                <w:sz w:val="20"/>
                <w:szCs w:val="20"/>
                <w:vertAlign w:val="subscript"/>
              </w:rPr>
              <w:t>O</w:t>
            </w:r>
            <w:r>
              <w:rPr>
                <w:rFonts w:ascii="Calibri" w:hAnsi="Calibri"/>
                <w:b/>
                <w:color w:val="000000"/>
                <w:sz w:val="20"/>
                <w:szCs w:val="20"/>
              </w:rPr>
              <w:t xml:space="preserve">) x celkový počet jednotek služby dle AP </w:t>
            </w:r>
          </w:p>
        </w:tc>
      </w:tr>
      <w:tr w:rsidR="00475554" w14:paraId="700CC255" w14:textId="77777777">
        <w:trPr>
          <w:cantSplit/>
          <w:trHeight w:val="454"/>
        </w:trPr>
        <w:tc>
          <w:tcPr>
            <w:tcW w:w="4611" w:type="dxa"/>
            <w:tcBorders>
              <w:top w:val="single" w:sz="4" w:space="0" w:color="auto"/>
              <w:left w:val="single" w:sz="4" w:space="0" w:color="auto"/>
              <w:bottom w:val="single" w:sz="4" w:space="0" w:color="auto"/>
              <w:right w:val="single" w:sz="4" w:space="0" w:color="auto"/>
            </w:tcBorders>
            <w:noWrap/>
            <w:vAlign w:val="center"/>
          </w:tcPr>
          <w:p w14:paraId="3756C58B"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Odlehčovací služby</w:t>
            </w:r>
          </w:p>
        </w:tc>
        <w:tc>
          <w:tcPr>
            <w:tcW w:w="4461" w:type="dxa"/>
            <w:tcBorders>
              <w:top w:val="single" w:sz="4" w:space="0" w:color="auto"/>
              <w:left w:val="nil"/>
              <w:bottom w:val="single" w:sz="4" w:space="0" w:color="auto"/>
              <w:right w:val="single" w:sz="4" w:space="0" w:color="auto"/>
            </w:tcBorders>
            <w:noWrap/>
            <w:vAlign w:val="center"/>
          </w:tcPr>
          <w:p w14:paraId="16E526C3" w14:textId="77777777" w:rsidR="00475554" w:rsidRDefault="00157B87">
            <w:pPr>
              <w:spacing w:before="60" w:after="60" w:line="240" w:lineRule="auto"/>
              <w:rPr>
                <w:rFonts w:ascii="Calibri" w:hAnsi="Calibri"/>
                <w:b/>
                <w:color w:val="000000"/>
                <w:sz w:val="20"/>
                <w:szCs w:val="20"/>
              </w:rPr>
            </w:pPr>
            <w:r>
              <w:rPr>
                <w:rFonts w:ascii="Calibri" w:hAnsi="Calibri"/>
                <w:b/>
                <w:color w:val="000000"/>
                <w:sz w:val="20"/>
                <w:szCs w:val="20"/>
              </w:rPr>
              <w:t>(</w:t>
            </w:r>
            <w:r>
              <w:rPr>
                <w:rFonts w:cs="Arial"/>
                <w:b/>
                <w:sz w:val="20"/>
                <w:szCs w:val="20"/>
              </w:rPr>
              <w:t>V</w:t>
            </w:r>
            <w:r>
              <w:rPr>
                <w:rFonts w:cs="Arial"/>
                <w:b/>
                <w:sz w:val="20"/>
                <w:szCs w:val="20"/>
                <w:vertAlign w:val="subscript"/>
              </w:rPr>
              <w:t>UP</w:t>
            </w:r>
            <w:r>
              <w:rPr>
                <w:rFonts w:ascii="Calibri" w:hAnsi="Calibri"/>
                <w:b/>
                <w:color w:val="000000"/>
                <w:sz w:val="20"/>
                <w:szCs w:val="20"/>
              </w:rPr>
              <w:t xml:space="preserve"> + </w:t>
            </w:r>
            <w:r>
              <w:rPr>
                <w:b/>
                <w:sz w:val="20"/>
                <w:szCs w:val="20"/>
              </w:rPr>
              <w:t>V</w:t>
            </w:r>
            <w:r>
              <w:rPr>
                <w:b/>
                <w:sz w:val="20"/>
                <w:szCs w:val="20"/>
                <w:vertAlign w:val="subscript"/>
              </w:rPr>
              <w:t>O</w:t>
            </w:r>
            <w:r>
              <w:rPr>
                <w:rFonts w:ascii="Calibri" w:hAnsi="Calibri"/>
                <w:b/>
                <w:color w:val="000000"/>
                <w:sz w:val="20"/>
                <w:szCs w:val="20"/>
              </w:rPr>
              <w:t>) x celkový počet jednotek služby dle AP</w:t>
            </w:r>
          </w:p>
        </w:tc>
      </w:tr>
      <w:tr w:rsidR="00475554" w14:paraId="35A78CC0" w14:textId="77777777">
        <w:trPr>
          <w:cantSplit/>
          <w:trHeight w:val="454"/>
        </w:trPr>
        <w:tc>
          <w:tcPr>
            <w:tcW w:w="4611" w:type="dxa"/>
            <w:tcBorders>
              <w:top w:val="single" w:sz="4" w:space="0" w:color="auto"/>
              <w:left w:val="single" w:sz="4" w:space="0" w:color="auto"/>
              <w:bottom w:val="single" w:sz="4" w:space="0" w:color="auto"/>
              <w:right w:val="single" w:sz="4" w:space="0" w:color="auto"/>
            </w:tcBorders>
            <w:noWrap/>
            <w:vAlign w:val="center"/>
          </w:tcPr>
          <w:p w14:paraId="34881943"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Týdenní stacionáře</w:t>
            </w:r>
          </w:p>
        </w:tc>
        <w:tc>
          <w:tcPr>
            <w:tcW w:w="4461" w:type="dxa"/>
            <w:tcBorders>
              <w:top w:val="single" w:sz="4" w:space="0" w:color="auto"/>
              <w:left w:val="nil"/>
              <w:bottom w:val="single" w:sz="4" w:space="0" w:color="auto"/>
              <w:right w:val="single" w:sz="4" w:space="0" w:color="auto"/>
            </w:tcBorders>
            <w:noWrap/>
            <w:vAlign w:val="center"/>
          </w:tcPr>
          <w:p w14:paraId="643DE5D8" w14:textId="77777777" w:rsidR="00475554" w:rsidRDefault="00157B87">
            <w:pPr>
              <w:spacing w:before="60" w:after="60" w:line="240" w:lineRule="auto"/>
              <w:rPr>
                <w:rFonts w:ascii="Calibri" w:hAnsi="Calibri"/>
                <w:b/>
                <w:color w:val="000000"/>
                <w:sz w:val="20"/>
                <w:szCs w:val="20"/>
              </w:rPr>
            </w:pPr>
            <w:r>
              <w:rPr>
                <w:rFonts w:ascii="Calibri" w:hAnsi="Calibri"/>
                <w:b/>
                <w:color w:val="000000"/>
                <w:sz w:val="20"/>
                <w:szCs w:val="20"/>
              </w:rPr>
              <w:t>(</w:t>
            </w:r>
            <w:r>
              <w:rPr>
                <w:rFonts w:cs="Arial"/>
                <w:b/>
                <w:sz w:val="20"/>
                <w:szCs w:val="20"/>
              </w:rPr>
              <w:t>V</w:t>
            </w:r>
            <w:r>
              <w:rPr>
                <w:rFonts w:cs="Arial"/>
                <w:b/>
                <w:sz w:val="20"/>
                <w:szCs w:val="20"/>
                <w:vertAlign w:val="subscript"/>
              </w:rPr>
              <w:t>UP</w:t>
            </w:r>
            <w:r>
              <w:rPr>
                <w:rFonts w:ascii="Calibri" w:hAnsi="Calibri"/>
                <w:b/>
                <w:color w:val="000000"/>
                <w:sz w:val="20"/>
                <w:szCs w:val="20"/>
              </w:rPr>
              <w:t xml:space="preserve"> </w:t>
            </w:r>
            <w:r w:rsidR="007203F3">
              <w:rPr>
                <w:rFonts w:ascii="Calibri" w:hAnsi="Calibri"/>
                <w:b/>
                <w:color w:val="000000"/>
                <w:spacing w:val="-4"/>
                <w:sz w:val="20"/>
                <w:szCs w:val="20"/>
              </w:rPr>
              <w:t>+</w:t>
            </w:r>
            <w:r w:rsidR="007203F3">
              <w:rPr>
                <w:rFonts w:ascii="Calibri" w:hAnsi="Calibri"/>
                <w:b/>
                <w:spacing w:val="-4"/>
                <w:sz w:val="20"/>
                <w:szCs w:val="20"/>
              </w:rPr>
              <w:t xml:space="preserve"> V</w:t>
            </w:r>
            <w:r w:rsidR="007203F3">
              <w:rPr>
                <w:rFonts w:ascii="Calibri" w:hAnsi="Calibri"/>
                <w:b/>
                <w:spacing w:val="-4"/>
                <w:sz w:val="20"/>
                <w:szCs w:val="20"/>
                <w:vertAlign w:val="subscript"/>
              </w:rPr>
              <w:t>ZP</w:t>
            </w:r>
            <w:r w:rsidR="007203F3">
              <w:rPr>
                <w:rFonts w:ascii="Calibri" w:hAnsi="Calibri"/>
                <w:b/>
                <w:color w:val="000000"/>
                <w:spacing w:val="-4"/>
                <w:sz w:val="20"/>
                <w:szCs w:val="20"/>
              </w:rPr>
              <w:t xml:space="preserve"> </w:t>
            </w:r>
            <w:r>
              <w:rPr>
                <w:rFonts w:ascii="Calibri" w:hAnsi="Calibri"/>
                <w:b/>
                <w:color w:val="000000"/>
                <w:sz w:val="20"/>
                <w:szCs w:val="20"/>
              </w:rPr>
              <w:t xml:space="preserve">+ </w:t>
            </w:r>
            <w:r>
              <w:rPr>
                <w:b/>
                <w:sz w:val="20"/>
                <w:szCs w:val="20"/>
              </w:rPr>
              <w:t>V</w:t>
            </w:r>
            <w:r>
              <w:rPr>
                <w:b/>
                <w:sz w:val="20"/>
                <w:szCs w:val="20"/>
                <w:vertAlign w:val="subscript"/>
              </w:rPr>
              <w:t>O</w:t>
            </w:r>
            <w:r>
              <w:rPr>
                <w:rFonts w:ascii="Calibri" w:hAnsi="Calibri"/>
                <w:b/>
                <w:color w:val="000000"/>
                <w:sz w:val="20"/>
                <w:szCs w:val="20"/>
              </w:rPr>
              <w:t>) x celkový počet jednotek služby dle AP</w:t>
            </w:r>
          </w:p>
        </w:tc>
      </w:tr>
    </w:tbl>
    <w:p w14:paraId="77CF7032" w14:textId="77777777" w:rsidR="00475554" w:rsidRDefault="00475554">
      <w:pPr>
        <w:spacing w:before="120" w:after="120"/>
        <w:jc w:val="both"/>
      </w:pPr>
    </w:p>
    <w:p w14:paraId="6C10352F" w14:textId="77777777" w:rsidR="00475554" w:rsidRDefault="00157B87">
      <w:pPr>
        <w:pStyle w:val="Nadpis4"/>
        <w:spacing w:before="120" w:after="120"/>
        <w:ind w:left="862" w:hanging="862"/>
        <w:jc w:val="both"/>
        <w:rPr>
          <w:rFonts w:asciiTheme="minorHAnsi" w:hAnsiTheme="minorHAnsi" w:cstheme="minorHAnsi"/>
        </w:rPr>
      </w:pPr>
      <w:bookmarkStart w:id="69" w:name="_Toc230777920"/>
      <w:r>
        <w:rPr>
          <w:rFonts w:asciiTheme="minorHAnsi" w:hAnsiTheme="minorHAnsi" w:cstheme="minorHAnsi"/>
        </w:rPr>
        <w:t>Obvyklé výnosy pobytových služeb sociální prevence</w:t>
      </w:r>
      <w:bookmarkEnd w:id="69"/>
    </w:p>
    <w:p w14:paraId="44D53234" w14:textId="77777777" w:rsidR="00475554" w:rsidRDefault="00475554">
      <w:pPr>
        <w:spacing w:before="120" w:after="120"/>
        <w:jc w:val="both"/>
      </w:pPr>
    </w:p>
    <w:p w14:paraId="41F3BE8C" w14:textId="77777777" w:rsidR="00475554" w:rsidRDefault="00157B87">
      <w:pPr>
        <w:spacing w:before="120" w:after="240"/>
        <w:jc w:val="both"/>
      </w:pPr>
      <w:r>
        <w:t>Obvyklé výnosy pobytových služeb sociální prevence tvoří výnosy od uživatelů služeb a ostatní výnosy.</w:t>
      </w:r>
      <w:r w:rsidR="00465444" w:rsidRPr="00465444">
        <w:t xml:space="preserve"> </w:t>
      </w:r>
      <w:r w:rsidR="00465444">
        <w:t xml:space="preserve">Vypočtené obvyklé výnosy mohou být následně zreálněny na základě analýzy skutečných dat. Při korekci výsledné hodnoty se zohledňují také legislativní změny, zejména výše úhrad od uživatele při změně prováděcí vyhlášky.  </w:t>
      </w:r>
    </w:p>
    <w:p w14:paraId="3EE1C98A" w14:textId="77777777" w:rsidR="00475554" w:rsidRDefault="00157B87">
      <w:pPr>
        <w:pStyle w:val="Odstavecseseznamem"/>
        <w:numPr>
          <w:ilvl w:val="0"/>
          <w:numId w:val="11"/>
        </w:numPr>
        <w:spacing w:before="120" w:after="120"/>
        <w:ind w:left="425" w:hanging="425"/>
        <w:contextualSpacing w:val="0"/>
        <w:jc w:val="both"/>
        <w:rPr>
          <w:b/>
        </w:rPr>
      </w:pPr>
      <w:r>
        <w:rPr>
          <w:b/>
        </w:rPr>
        <w:t>Výnosy od uživatelů pobytových služeb sociální prevence</w:t>
      </w:r>
    </w:p>
    <w:p w14:paraId="76FD9450" w14:textId="77777777" w:rsidR="00475554" w:rsidRDefault="00157B87">
      <w:pPr>
        <w:pStyle w:val="Odstavecseseznamem"/>
        <w:spacing w:before="120" w:after="120"/>
        <w:ind w:left="425"/>
        <w:contextualSpacing w:val="0"/>
        <w:jc w:val="both"/>
      </w:pPr>
      <w:r>
        <w:t>Modelace výnosů od uživatelů je samostatně zpracovávána pro azylové domy s cílovou skupinou rodiny s dětmi. Důvodem pro samostatné zpracování je specifická struktura úhrad, dle prováděcí vyhlášky, za základní úkon ubytování, a to pro dospělou osobu a dítě.</w:t>
      </w:r>
    </w:p>
    <w:p w14:paraId="792FB174" w14:textId="77777777" w:rsidR="00475554" w:rsidRDefault="00475554">
      <w:pPr>
        <w:pStyle w:val="Odstavecseseznamem"/>
        <w:spacing w:before="120" w:after="120"/>
        <w:ind w:left="425"/>
        <w:contextualSpacing w:val="0"/>
        <w:jc w:val="both"/>
      </w:pPr>
    </w:p>
    <w:p w14:paraId="35B79AAA" w14:textId="77777777" w:rsidR="00475554" w:rsidRDefault="00157B87">
      <w:pPr>
        <w:pStyle w:val="Odstavecseseznamem"/>
        <w:numPr>
          <w:ilvl w:val="0"/>
          <w:numId w:val="12"/>
        </w:numPr>
        <w:spacing w:before="120" w:after="120"/>
        <w:ind w:left="851" w:hanging="425"/>
        <w:contextualSpacing w:val="0"/>
        <w:jc w:val="both"/>
        <w:rPr>
          <w:b/>
        </w:rPr>
      </w:pPr>
      <w:r>
        <w:rPr>
          <w:b/>
        </w:rPr>
        <w:lastRenderedPageBreak/>
        <w:t>Výnosy na jednotku sociální služby od uživatelů sociální služby =</w:t>
      </w:r>
      <w:r>
        <w:rPr>
          <w:rFonts w:cs="Arial"/>
          <w:b/>
        </w:rPr>
        <w:t xml:space="preserve"> </w:t>
      </w:r>
      <w:r>
        <w:rPr>
          <w:b/>
        </w:rPr>
        <w:t>V</w:t>
      </w:r>
      <w:r>
        <w:rPr>
          <w:b/>
          <w:vertAlign w:val="subscript"/>
        </w:rPr>
        <w:t>P</w:t>
      </w:r>
    </w:p>
    <w:p w14:paraId="5FB53868" w14:textId="77777777" w:rsidR="00475554" w:rsidRDefault="00157B87">
      <w:pPr>
        <w:spacing w:before="120" w:after="120"/>
        <w:ind w:left="851"/>
        <w:jc w:val="both"/>
      </w:pPr>
      <w:r>
        <w:t>Výnosy od uživatelů pobytových služeb sociální prevence (mimo azylových domů – pro rodiny s dětmi) jsou modelovány na stanovenou jednotku sociální služby podle následujících zásad:</w:t>
      </w:r>
    </w:p>
    <w:p w14:paraId="4641E704" w14:textId="77777777" w:rsidR="00475554" w:rsidRDefault="00157B87">
      <w:pPr>
        <w:spacing w:before="120" w:after="120"/>
        <w:ind w:left="851"/>
        <w:jc w:val="both"/>
        <w:rPr>
          <w:b/>
        </w:rPr>
      </w:pPr>
      <w:r>
        <w:rPr>
          <w:b/>
        </w:rPr>
        <w:t>Východiska:</w:t>
      </w:r>
    </w:p>
    <w:p w14:paraId="69485A3E" w14:textId="77777777" w:rsidR="00475554" w:rsidRDefault="00157B87">
      <w:pPr>
        <w:pStyle w:val="Odstavecseseznamem"/>
        <w:numPr>
          <w:ilvl w:val="0"/>
          <w:numId w:val="8"/>
        </w:numPr>
        <w:spacing w:before="120" w:after="120"/>
        <w:ind w:left="1276" w:hanging="425"/>
        <w:contextualSpacing w:val="0"/>
        <w:jc w:val="both"/>
        <w:rPr>
          <w:rFonts w:cs="Arial"/>
        </w:rPr>
      </w:pPr>
      <w:r>
        <w:rPr>
          <w:rFonts w:cs="Arial"/>
        </w:rPr>
        <w:t xml:space="preserve">Maximální úhrada za ubytování/den stanovená </w:t>
      </w:r>
      <w:r>
        <w:t>prováděcí vyhláškou</w:t>
      </w:r>
      <w:r>
        <w:rPr>
          <w:rFonts w:cs="Arial"/>
        </w:rPr>
        <w:t xml:space="preserve"> = </w:t>
      </w:r>
      <w:r>
        <w:rPr>
          <w:rFonts w:cs="Arial"/>
          <w:b/>
        </w:rPr>
        <w:t>U</w:t>
      </w:r>
      <w:r>
        <w:rPr>
          <w:rFonts w:cs="Arial"/>
        </w:rPr>
        <w:t>.</w:t>
      </w:r>
    </w:p>
    <w:p w14:paraId="17BAFBE8" w14:textId="77777777" w:rsidR="00475554" w:rsidRDefault="00157B87">
      <w:pPr>
        <w:pStyle w:val="Odstavecseseznamem"/>
        <w:numPr>
          <w:ilvl w:val="0"/>
          <w:numId w:val="8"/>
        </w:numPr>
        <w:spacing w:before="120" w:after="120"/>
        <w:ind w:left="1276" w:hanging="425"/>
        <w:contextualSpacing w:val="0"/>
        <w:jc w:val="both"/>
        <w:rPr>
          <w:rFonts w:cs="Arial"/>
          <w:b/>
        </w:rPr>
      </w:pPr>
      <w:r>
        <w:rPr>
          <w:rFonts w:cs="Arial"/>
        </w:rPr>
        <w:t xml:space="preserve">Minimální obložnost sociální služby (dle parametru efektivita sociální služby v rámci hodnocení služeb) stanovená pro konkrétní druh sociální služby = </w:t>
      </w:r>
      <w:r>
        <w:rPr>
          <w:b/>
        </w:rPr>
        <w:t>O</w:t>
      </w:r>
      <w:r>
        <w:rPr>
          <w:b/>
          <w:vertAlign w:val="subscript"/>
        </w:rPr>
        <w:t>B</w:t>
      </w:r>
      <w:r>
        <w:t>.</w:t>
      </w:r>
    </w:p>
    <w:tbl>
      <w:tblPr>
        <w:tblStyle w:val="Mkatabulky"/>
        <w:tblW w:w="8221" w:type="dxa"/>
        <w:tblInd w:w="846" w:type="dxa"/>
        <w:tblLook w:val="04A0" w:firstRow="1" w:lastRow="0" w:firstColumn="1" w:lastColumn="0" w:noHBand="0" w:noVBand="1"/>
      </w:tblPr>
      <w:tblGrid>
        <w:gridCol w:w="8221"/>
      </w:tblGrid>
      <w:tr w:rsidR="00475554" w14:paraId="434C0927" w14:textId="77777777">
        <w:trPr>
          <w:trHeight w:val="872"/>
        </w:trPr>
        <w:tc>
          <w:tcPr>
            <w:tcW w:w="8221" w:type="dxa"/>
          </w:tcPr>
          <w:p w14:paraId="7B5E9EA9" w14:textId="77777777" w:rsidR="00475554" w:rsidRDefault="00157B87">
            <w:pPr>
              <w:spacing w:before="60" w:after="60" w:line="276" w:lineRule="auto"/>
              <w:ind w:left="34"/>
              <w:jc w:val="both"/>
              <w:rPr>
                <w:rFonts w:cs="Arial"/>
                <w:b/>
                <w:i/>
              </w:rPr>
            </w:pPr>
            <w:r>
              <w:rPr>
                <w:rFonts w:cs="Arial"/>
                <w:b/>
                <w:i/>
              </w:rPr>
              <w:t xml:space="preserve">Vzorec výpočtu obvyklého ročního výnosu od uživatelů na jednotku sociální služby: </w:t>
            </w:r>
          </w:p>
          <w:p w14:paraId="77F9C01D" w14:textId="77777777" w:rsidR="00475554" w:rsidRDefault="00B67ACF">
            <w:pPr>
              <w:spacing w:before="60" w:after="60" w:line="276" w:lineRule="auto"/>
              <w:ind w:left="-108"/>
              <w:jc w:val="both"/>
              <w:rPr>
                <w:b/>
              </w:rPr>
            </w:pPr>
            <m:oMathPara>
              <m:oMath>
                <m:sSub>
                  <m:sSubPr>
                    <m:ctrlPr>
                      <w:rPr>
                        <w:rFonts w:ascii="Cambria Math" w:hAnsi="Cambria Math"/>
                        <w:b/>
                      </w:rPr>
                    </m:ctrlPr>
                  </m:sSubPr>
                  <m:e>
                    <m:r>
                      <m:rPr>
                        <m:sty m:val="bi"/>
                      </m:rPr>
                      <w:rPr>
                        <w:rFonts w:ascii="Cambria Math" w:hAnsi="Cambria Math"/>
                      </w:rPr>
                      <m:t>V</m:t>
                    </m:r>
                  </m:e>
                  <m:sub>
                    <m:r>
                      <m:rPr>
                        <m:sty m:val="bi"/>
                      </m:rPr>
                      <w:rPr>
                        <w:rFonts w:ascii="Cambria Math" w:hAnsi="Cambria Math"/>
                      </w:rPr>
                      <m:t>P</m:t>
                    </m:r>
                  </m:sub>
                </m:sSub>
                <m:r>
                  <m:rPr>
                    <m:sty m:val="bi"/>
                  </m:rPr>
                  <w:rPr>
                    <w:rFonts w:ascii="Cambria Math" w:hAnsi="Cambria Math"/>
                  </w:rPr>
                  <m:t>=</m:t>
                </m:r>
                <m:r>
                  <m:rPr>
                    <m:sty m:val="b"/>
                  </m:rPr>
                  <w:rPr>
                    <w:rFonts w:ascii="Cambria Math" w:hAnsi="Cambria Math"/>
                  </w:rPr>
                  <m:t xml:space="preserve"> </m:t>
                </m:r>
                <m:r>
                  <m:rPr>
                    <m:sty m:val="b"/>
                  </m:rPr>
                  <w:rPr>
                    <w:rFonts w:ascii="Cambria Math" w:hAnsi="Cambria Math"/>
                  </w:rPr>
                  <m:t>U</m:t>
                </m:r>
                <m:r>
                  <m:rPr>
                    <m:sty m:val="b"/>
                  </m:rPr>
                  <w:rPr>
                    <w:rFonts w:ascii="Cambria Math" w:hAnsi="Cambria Math"/>
                  </w:rPr>
                  <m:t xml:space="preserve"> ×</m:t>
                </m:r>
                <m:r>
                  <m:rPr>
                    <m:sty m:val="bi"/>
                  </m:rPr>
                  <w:rPr>
                    <w:rFonts w:ascii="Cambria Math" w:hAnsi="Cambria Math"/>
                  </w:rPr>
                  <m:t>po</m:t>
                </m:r>
                <m:r>
                  <m:rPr>
                    <m:sty m:val="bi"/>
                  </m:rPr>
                  <w:rPr>
                    <w:rFonts w:ascii="Cambria Math" w:hAnsi="Cambria Math"/>
                  </w:rPr>
                  <m:t>č</m:t>
                </m:r>
                <m:r>
                  <m:rPr>
                    <m:sty m:val="bi"/>
                  </m:rPr>
                  <w:rPr>
                    <w:rFonts w:ascii="Cambria Math" w:hAnsi="Cambria Math"/>
                  </w:rPr>
                  <m:t>et</m:t>
                </m:r>
                <m:r>
                  <m:rPr>
                    <m:sty m:val="bi"/>
                  </m:rPr>
                  <w:rPr>
                    <w:rFonts w:ascii="Cambria Math" w:hAnsi="Cambria Math"/>
                  </w:rPr>
                  <m:t xml:space="preserve"> </m:t>
                </m:r>
                <m:r>
                  <m:rPr>
                    <m:sty m:val="bi"/>
                  </m:rPr>
                  <w:rPr>
                    <w:rFonts w:ascii="Cambria Math" w:hAnsi="Cambria Math"/>
                  </w:rPr>
                  <m:t>kalend</m:t>
                </m:r>
                <m:r>
                  <m:rPr>
                    <m:sty m:val="bi"/>
                  </m:rPr>
                  <w:rPr>
                    <w:rFonts w:ascii="Cambria Math" w:hAnsi="Cambria Math"/>
                  </w:rPr>
                  <m:t>ář</m:t>
                </m:r>
                <m:r>
                  <m:rPr>
                    <m:sty m:val="bi"/>
                  </m:rPr>
                  <w:rPr>
                    <w:rFonts w:ascii="Cambria Math" w:hAnsi="Cambria Math"/>
                  </w:rPr>
                  <m:t>n</m:t>
                </m:r>
                <m:r>
                  <m:rPr>
                    <m:sty m:val="bi"/>
                  </m:rPr>
                  <w:rPr>
                    <w:rFonts w:ascii="Cambria Math" w:hAnsi="Cambria Math"/>
                  </w:rPr>
                  <m:t>í</m:t>
                </m:r>
                <m:r>
                  <m:rPr>
                    <m:sty m:val="bi"/>
                  </m:rPr>
                  <w:rPr>
                    <w:rFonts w:ascii="Cambria Math" w:hAnsi="Cambria Math"/>
                  </w:rPr>
                  <m:t>ch</m:t>
                </m:r>
                <m:r>
                  <m:rPr>
                    <m:sty m:val="bi"/>
                  </m:rPr>
                  <w:rPr>
                    <w:rFonts w:ascii="Cambria Math" w:hAnsi="Cambria Math"/>
                  </w:rPr>
                  <m:t xml:space="preserve"> </m:t>
                </m:r>
                <m:r>
                  <m:rPr>
                    <m:sty m:val="bi"/>
                  </m:rPr>
                  <w:rPr>
                    <w:rFonts w:ascii="Cambria Math" w:hAnsi="Cambria Math"/>
                  </w:rPr>
                  <m:t>dn</m:t>
                </m:r>
                <m:r>
                  <m:rPr>
                    <m:sty m:val="bi"/>
                  </m:rPr>
                  <w:rPr>
                    <w:rFonts w:ascii="Cambria Math" w:hAnsi="Cambria Math"/>
                  </w:rPr>
                  <m:t xml:space="preserve">ů </m:t>
                </m:r>
                <m:r>
                  <m:rPr>
                    <m:sty m:val="bi"/>
                  </m:rPr>
                  <w:rPr>
                    <w:rFonts w:ascii="Cambria Math" w:hAnsi="Cambria Math"/>
                  </w:rPr>
                  <m:t>v</m:t>
                </m:r>
                <m:r>
                  <m:rPr>
                    <m:sty m:val="bi"/>
                  </m:rPr>
                  <w:rPr>
                    <w:rFonts w:ascii="Cambria Math" w:hAnsi="Cambria Math"/>
                  </w:rPr>
                  <m:t xml:space="preserve"> </m:t>
                </m:r>
                <m:r>
                  <m:rPr>
                    <m:sty m:val="bi"/>
                  </m:rPr>
                  <w:rPr>
                    <w:rFonts w:ascii="Cambria Math" w:hAnsi="Cambria Math"/>
                  </w:rPr>
                  <m:t>roce</m:t>
                </m:r>
                <m:r>
                  <m:rPr>
                    <m:sty m:val="b"/>
                  </m:rPr>
                  <w:rPr>
                    <w:rFonts w:ascii="Cambria Math" w:hAnsi="Cambria Math"/>
                  </w:rPr>
                  <m:t>×</m:t>
                </m:r>
                <m:sSub>
                  <m:sSubPr>
                    <m:ctrlPr>
                      <w:rPr>
                        <w:rFonts w:ascii="Cambria Math" w:hAnsi="Cambria Math"/>
                        <w:b/>
                      </w:rPr>
                    </m:ctrlPr>
                  </m:sSubPr>
                  <m:e>
                    <m:r>
                      <m:rPr>
                        <m:sty m:val="bi"/>
                      </m:rPr>
                      <w:rPr>
                        <w:rFonts w:ascii="Cambria Math" w:hAnsi="Cambria Math"/>
                      </w:rPr>
                      <m:t>O</m:t>
                    </m:r>
                  </m:e>
                  <m:sub>
                    <m:r>
                      <m:rPr>
                        <m:sty m:val="bi"/>
                      </m:rPr>
                      <w:rPr>
                        <w:rFonts w:ascii="Cambria Math" w:hAnsi="Cambria Math"/>
                      </w:rPr>
                      <m:t>B</m:t>
                    </m:r>
                  </m:sub>
                </m:sSub>
                <m:r>
                  <m:rPr>
                    <m:sty m:val="b"/>
                  </m:rPr>
                  <w:rPr>
                    <w:rFonts w:ascii="Cambria Math" w:hAnsi="Cambria Math"/>
                  </w:rPr>
                  <m:t xml:space="preserve"> </m:t>
                </m:r>
              </m:oMath>
            </m:oMathPara>
          </w:p>
        </w:tc>
      </w:tr>
    </w:tbl>
    <w:p w14:paraId="5707F74E" w14:textId="77777777" w:rsidR="00475554" w:rsidRDefault="00157B87">
      <w:pPr>
        <w:pStyle w:val="Odstavecseseznamem"/>
        <w:numPr>
          <w:ilvl w:val="0"/>
          <w:numId w:val="12"/>
        </w:numPr>
        <w:spacing w:before="120" w:after="120"/>
        <w:ind w:left="850" w:hanging="425"/>
        <w:contextualSpacing w:val="0"/>
        <w:jc w:val="both"/>
        <w:rPr>
          <w:b/>
          <w:spacing w:val="-4"/>
        </w:rPr>
      </w:pPr>
      <w:r>
        <w:rPr>
          <w:b/>
          <w:spacing w:val="-4"/>
        </w:rPr>
        <w:t>Výnosy od uživatelů sociální služby – azylové domy s cílovou skupinou pro rodiny s dětmi = V</w:t>
      </w:r>
      <w:r>
        <w:rPr>
          <w:b/>
          <w:spacing w:val="-4"/>
          <w:vertAlign w:val="subscript"/>
        </w:rPr>
        <w:t>PAR</w:t>
      </w:r>
    </w:p>
    <w:p w14:paraId="67A758E1" w14:textId="77777777" w:rsidR="00475554" w:rsidRDefault="00157B87">
      <w:pPr>
        <w:spacing w:before="120" w:after="120"/>
        <w:ind w:left="851"/>
        <w:jc w:val="both"/>
      </w:pPr>
      <w:r>
        <w:rPr>
          <w:spacing w:val="-2"/>
        </w:rPr>
        <w:t>Výnosy od uživatelů pobytové služby sociální prevence (azylové domy – pro rodiny</w:t>
      </w:r>
      <w:r>
        <w:t xml:space="preserve"> s dětmi) jsou modelovány na stanovenou jednotku sociální služby dle následujících zásad:</w:t>
      </w:r>
    </w:p>
    <w:p w14:paraId="1A099F02" w14:textId="77777777" w:rsidR="00475554" w:rsidRDefault="00157B87">
      <w:pPr>
        <w:spacing w:before="120" w:after="120"/>
        <w:ind w:left="851"/>
        <w:jc w:val="both"/>
        <w:rPr>
          <w:b/>
        </w:rPr>
      </w:pPr>
      <w:r>
        <w:rPr>
          <w:b/>
        </w:rPr>
        <w:t>Východiska:</w:t>
      </w:r>
    </w:p>
    <w:p w14:paraId="7E25DF72" w14:textId="77777777" w:rsidR="00475554" w:rsidRDefault="00157B87">
      <w:pPr>
        <w:pStyle w:val="Odstavecseseznamem"/>
        <w:numPr>
          <w:ilvl w:val="0"/>
          <w:numId w:val="8"/>
        </w:numPr>
        <w:spacing w:before="120" w:after="120"/>
        <w:ind w:left="1276" w:hanging="425"/>
        <w:contextualSpacing w:val="0"/>
        <w:jc w:val="both"/>
        <w:rPr>
          <w:b/>
        </w:rPr>
      </w:pPr>
      <w:r>
        <w:t>Sociální služby jsou poskytovány v bytových jednotkách, průměrná bytová jednotka je tvořena 3 lůžky, ve struktuře 1 dospělý (A) a 2 děti (CH</w:t>
      </w:r>
      <w:r>
        <w:rPr>
          <w:vertAlign w:val="subscript"/>
        </w:rPr>
        <w:t>1</w:t>
      </w:r>
      <w:r>
        <w:t xml:space="preserve"> + CH</w:t>
      </w:r>
      <w:r>
        <w:rPr>
          <w:vertAlign w:val="subscript"/>
        </w:rPr>
        <w:t>2</w:t>
      </w:r>
      <w:r>
        <w:t xml:space="preserve">). Modelace úhrady ubytování </w:t>
      </w:r>
      <w:r>
        <w:rPr>
          <w:b/>
        </w:rPr>
        <w:t>(U</w:t>
      </w:r>
      <w:r>
        <w:rPr>
          <w:b/>
          <w:vertAlign w:val="subscript"/>
        </w:rPr>
        <w:t>PAR</w:t>
      </w:r>
      <w:r>
        <w:rPr>
          <w:b/>
        </w:rPr>
        <w:t xml:space="preserve">) za jeden den, </w:t>
      </w:r>
      <w:r>
        <w:t>zohledňuje průměrnou maximální denní úhradu stanovenou prováděcí vyhláškou za jedno lůžko.</w:t>
      </w:r>
    </w:p>
    <w:tbl>
      <w:tblPr>
        <w:tblStyle w:val="Mkatabulky"/>
        <w:tblW w:w="8221" w:type="dxa"/>
        <w:tblInd w:w="846" w:type="dxa"/>
        <w:tblLook w:val="04A0" w:firstRow="1" w:lastRow="0" w:firstColumn="1" w:lastColumn="0" w:noHBand="0" w:noVBand="1"/>
      </w:tblPr>
      <w:tblGrid>
        <w:gridCol w:w="8221"/>
      </w:tblGrid>
      <w:tr w:rsidR="00475554" w14:paraId="7CABA7ED" w14:textId="77777777">
        <w:trPr>
          <w:trHeight w:val="938"/>
        </w:trPr>
        <w:tc>
          <w:tcPr>
            <w:tcW w:w="8221" w:type="dxa"/>
          </w:tcPr>
          <w:p w14:paraId="0DFA22CF" w14:textId="77777777" w:rsidR="00475554" w:rsidRDefault="00157B87">
            <w:pPr>
              <w:spacing w:before="60" w:after="60" w:line="276" w:lineRule="auto"/>
              <w:ind w:left="34"/>
              <w:jc w:val="both"/>
              <w:rPr>
                <w:b/>
                <w:i/>
              </w:rPr>
            </w:pPr>
            <w:r>
              <w:rPr>
                <w:b/>
                <w:i/>
              </w:rPr>
              <w:t>Dílčí výpočet výnosu od uživatelů na jednotku sociální služby/den:</w:t>
            </w:r>
          </w:p>
          <w:p w14:paraId="5016258E" w14:textId="77777777" w:rsidR="00475554" w:rsidRDefault="00B67ACF">
            <w:pPr>
              <w:spacing w:before="60" w:after="60" w:line="276" w:lineRule="auto"/>
              <w:ind w:left="34"/>
              <w:jc w:val="both"/>
              <w:rPr>
                <w:b/>
              </w:rPr>
            </w:pPr>
            <m:oMathPara>
              <m:oMath>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PAR</m:t>
                    </m:r>
                    <m:r>
                      <m:rPr>
                        <m:sty m:val="bi"/>
                      </m:rPr>
                      <w:rPr>
                        <w:rFonts w:ascii="Cambria Math" w:hAnsi="Cambria Math"/>
                      </w:rPr>
                      <m:t xml:space="preserve"> = </m:t>
                    </m:r>
                    <m:f>
                      <m:fPr>
                        <m:ctrlPr>
                          <w:rPr>
                            <w:rFonts w:ascii="Cambria Math" w:hAnsi="Cambria Math"/>
                            <w:b/>
                            <w:i/>
                          </w:rPr>
                        </m:ctrlPr>
                      </m:fPr>
                      <m:num>
                        <m:r>
                          <m:rPr>
                            <m:sty m:val="bi"/>
                          </m:rPr>
                          <w:rPr>
                            <w:rFonts w:ascii="Cambria Math" w:hAnsi="Cambria Math"/>
                          </w:rPr>
                          <m:t>A</m:t>
                        </m:r>
                        <m:r>
                          <m:rPr>
                            <m:sty m:val="bi"/>
                          </m:rPr>
                          <w:rPr>
                            <w:rFonts w:ascii="Cambria Math" w:hAnsi="Cambria Math"/>
                          </w:rPr>
                          <m:t>+</m:t>
                        </m:r>
                        <m:sSub>
                          <m:sSubPr>
                            <m:ctrlPr>
                              <w:rPr>
                                <w:rFonts w:ascii="Cambria Math" w:hAnsi="Cambria Math"/>
                                <w:b/>
                                <w:i/>
                              </w:rPr>
                            </m:ctrlPr>
                          </m:sSubPr>
                          <m:e>
                            <m:r>
                              <m:rPr>
                                <m:sty m:val="bi"/>
                              </m:rPr>
                              <w:rPr>
                                <w:rFonts w:ascii="Cambria Math" w:hAnsi="Cambria Math"/>
                              </w:rPr>
                              <m:t>CH</m:t>
                            </m:r>
                          </m:e>
                          <m:sub>
                            <m:r>
                              <m:rPr>
                                <m:sty m:val="bi"/>
                              </m:rPr>
                              <w:rPr>
                                <w:rFonts w:ascii="Cambria Math" w:hAnsi="Cambria Math"/>
                              </w:rPr>
                              <m:t>1</m:t>
                            </m:r>
                          </m:sub>
                        </m:sSub>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CH</m:t>
                            </m:r>
                          </m:e>
                          <m:sub>
                            <m:r>
                              <m:rPr>
                                <m:sty m:val="bi"/>
                              </m:rPr>
                              <w:rPr>
                                <w:rFonts w:ascii="Cambria Math" w:hAnsi="Cambria Math"/>
                              </w:rPr>
                              <m:t>2</m:t>
                            </m:r>
                            <m:r>
                              <m:rPr>
                                <m:sty m:val="bi"/>
                              </m:rPr>
                              <w:rPr>
                                <w:rFonts w:ascii="Cambria Math" w:hAnsi="Cambria Math"/>
                              </w:rPr>
                              <m:t xml:space="preserve"> </m:t>
                            </m:r>
                          </m:sub>
                        </m:sSub>
                      </m:num>
                      <m:den>
                        <m:r>
                          <m:rPr>
                            <m:sty m:val="bi"/>
                          </m:rPr>
                          <w:rPr>
                            <w:rFonts w:ascii="Cambria Math" w:hAnsi="Cambria Math"/>
                          </w:rPr>
                          <m:t>3</m:t>
                        </m:r>
                      </m:den>
                    </m:f>
                    <m:r>
                      <m:rPr>
                        <m:sty m:val="bi"/>
                      </m:rPr>
                      <w:rPr>
                        <w:rFonts w:ascii="Cambria Math" w:hAnsi="Cambria Math"/>
                      </w:rPr>
                      <m:t xml:space="preserve">  </m:t>
                    </m:r>
                  </m:sub>
                </m:sSub>
              </m:oMath>
            </m:oMathPara>
          </w:p>
        </w:tc>
      </w:tr>
    </w:tbl>
    <w:p w14:paraId="60562C27" w14:textId="77777777" w:rsidR="00475554" w:rsidRDefault="00157B87">
      <w:pPr>
        <w:pStyle w:val="Odstavecseseznamem"/>
        <w:numPr>
          <w:ilvl w:val="0"/>
          <w:numId w:val="8"/>
        </w:numPr>
        <w:spacing w:before="120" w:after="120"/>
        <w:ind w:left="1276" w:hanging="425"/>
        <w:contextualSpacing w:val="0"/>
        <w:jc w:val="both"/>
        <w:rPr>
          <w:rFonts w:cs="Arial"/>
          <w:b/>
        </w:rPr>
      </w:pPr>
      <w:r>
        <w:rPr>
          <w:rFonts w:cs="Arial"/>
        </w:rPr>
        <w:t xml:space="preserve">Minimální obložnost sociální služby (dle parametru efektivita sociální služby v rámci hodnocení služeb) stanovená pro konkrétní druh sociální služby = </w:t>
      </w:r>
      <w:r>
        <w:rPr>
          <w:b/>
        </w:rPr>
        <w:t>O</w:t>
      </w:r>
      <w:r>
        <w:rPr>
          <w:b/>
          <w:vertAlign w:val="subscript"/>
        </w:rPr>
        <w:t>B</w:t>
      </w:r>
      <w:r>
        <w:t>.</w:t>
      </w:r>
    </w:p>
    <w:tbl>
      <w:tblPr>
        <w:tblStyle w:val="Mkatabulky"/>
        <w:tblW w:w="8221" w:type="dxa"/>
        <w:tblInd w:w="846" w:type="dxa"/>
        <w:tblLook w:val="04A0" w:firstRow="1" w:lastRow="0" w:firstColumn="1" w:lastColumn="0" w:noHBand="0" w:noVBand="1"/>
      </w:tblPr>
      <w:tblGrid>
        <w:gridCol w:w="8221"/>
      </w:tblGrid>
      <w:tr w:rsidR="00475554" w14:paraId="0908917B" w14:textId="77777777">
        <w:trPr>
          <w:trHeight w:val="849"/>
        </w:trPr>
        <w:tc>
          <w:tcPr>
            <w:tcW w:w="8221" w:type="dxa"/>
          </w:tcPr>
          <w:p w14:paraId="64E8B426" w14:textId="77777777" w:rsidR="00475554" w:rsidRDefault="00157B87">
            <w:pPr>
              <w:spacing w:before="60" w:after="60" w:line="276" w:lineRule="auto"/>
              <w:ind w:left="34"/>
              <w:jc w:val="both"/>
              <w:rPr>
                <w:rFonts w:cs="Arial"/>
                <w:b/>
                <w:i/>
              </w:rPr>
            </w:pPr>
            <w:r>
              <w:rPr>
                <w:rFonts w:cs="Arial"/>
                <w:b/>
                <w:i/>
              </w:rPr>
              <w:t>Vzorec výpočtu obvyklého ročního výnosu od uživatelů na jednotku sociální služby:</w:t>
            </w:r>
          </w:p>
          <w:p w14:paraId="4E5409CB" w14:textId="77777777" w:rsidR="00475554" w:rsidRDefault="00B67ACF">
            <w:pPr>
              <w:spacing w:before="60" w:after="60" w:line="276" w:lineRule="auto"/>
              <w:jc w:val="both"/>
            </w:pPr>
            <m:oMathPara>
              <m:oMath>
                <m:sSub>
                  <m:sSubPr>
                    <m:ctrlPr>
                      <w:rPr>
                        <w:rFonts w:ascii="Cambria Math" w:hAnsi="Cambria Math"/>
                        <w:b/>
                      </w:rPr>
                    </m:ctrlPr>
                  </m:sSubPr>
                  <m:e>
                    <m:r>
                      <m:rPr>
                        <m:sty m:val="b"/>
                      </m:rPr>
                      <w:rPr>
                        <w:rFonts w:ascii="Cambria Math" w:hAnsi="Cambria Math"/>
                      </w:rPr>
                      <m:t>V</m:t>
                    </m:r>
                  </m:e>
                  <m:sub>
                    <m:r>
                      <m:rPr>
                        <m:sty m:val="bi"/>
                      </m:rPr>
                      <w:rPr>
                        <w:rFonts w:ascii="Cambria Math" w:hAnsi="Cambria Math"/>
                      </w:rPr>
                      <m:t>PAR</m:t>
                    </m:r>
                  </m:sub>
                </m:sSub>
                <m:r>
                  <m:rPr>
                    <m:sty m:val="b"/>
                  </m:rPr>
                  <w:rPr>
                    <w:rFonts w:ascii="Cambria Math" w:hAnsi="Cambria Math"/>
                  </w:rPr>
                  <m:t>=</m:t>
                </m:r>
                <m:sSub>
                  <m:sSubPr>
                    <m:ctrlPr>
                      <w:rPr>
                        <w:rFonts w:ascii="Cambria Math" w:hAnsi="Cambria Math"/>
                        <w:b/>
                      </w:rPr>
                    </m:ctrlPr>
                  </m:sSubPr>
                  <m:e>
                    <m:r>
                      <m:rPr>
                        <m:sty m:val="bi"/>
                      </m:rPr>
                      <w:rPr>
                        <w:rFonts w:ascii="Cambria Math" w:hAnsi="Cambria Math"/>
                      </w:rPr>
                      <m:t>U</m:t>
                    </m:r>
                  </m:e>
                  <m:sub>
                    <m:r>
                      <m:rPr>
                        <m:sty m:val="bi"/>
                      </m:rPr>
                      <w:rPr>
                        <w:rFonts w:ascii="Cambria Math" w:hAnsi="Cambria Math"/>
                      </w:rPr>
                      <m:t>PAR</m:t>
                    </m:r>
                  </m:sub>
                </m:sSub>
                <m:r>
                  <m:rPr>
                    <m:sty m:val="b"/>
                  </m:rPr>
                  <w:rPr>
                    <w:rFonts w:ascii="Cambria Math" w:hAnsi="Cambria Math"/>
                  </w:rPr>
                  <m:t>×</m:t>
                </m:r>
                <m:r>
                  <m:rPr>
                    <m:sty m:val="bi"/>
                  </m:rPr>
                  <w:rPr>
                    <w:rFonts w:ascii="Cambria Math" w:hAnsi="Cambria Math"/>
                  </w:rPr>
                  <m:t>po</m:t>
                </m:r>
                <m:r>
                  <m:rPr>
                    <m:sty m:val="bi"/>
                  </m:rPr>
                  <w:rPr>
                    <w:rFonts w:ascii="Cambria Math" w:hAnsi="Cambria Math"/>
                  </w:rPr>
                  <m:t>č</m:t>
                </m:r>
                <m:r>
                  <m:rPr>
                    <m:sty m:val="bi"/>
                  </m:rPr>
                  <w:rPr>
                    <w:rFonts w:ascii="Cambria Math" w:hAnsi="Cambria Math"/>
                  </w:rPr>
                  <m:t>et</m:t>
                </m:r>
                <m:r>
                  <m:rPr>
                    <m:sty m:val="bi"/>
                  </m:rPr>
                  <w:rPr>
                    <w:rFonts w:ascii="Cambria Math" w:hAnsi="Cambria Math"/>
                  </w:rPr>
                  <m:t xml:space="preserve"> </m:t>
                </m:r>
                <m:r>
                  <m:rPr>
                    <m:sty m:val="bi"/>
                  </m:rPr>
                  <w:rPr>
                    <w:rFonts w:ascii="Cambria Math" w:hAnsi="Cambria Math"/>
                  </w:rPr>
                  <m:t>kalend</m:t>
                </m:r>
                <m:r>
                  <m:rPr>
                    <m:sty m:val="bi"/>
                  </m:rPr>
                  <w:rPr>
                    <w:rFonts w:ascii="Cambria Math" w:hAnsi="Cambria Math"/>
                  </w:rPr>
                  <m:t>ář</m:t>
                </m:r>
                <m:r>
                  <m:rPr>
                    <m:sty m:val="bi"/>
                  </m:rPr>
                  <w:rPr>
                    <w:rFonts w:ascii="Cambria Math" w:hAnsi="Cambria Math"/>
                  </w:rPr>
                  <m:t>n</m:t>
                </m:r>
                <m:r>
                  <m:rPr>
                    <m:sty m:val="bi"/>
                  </m:rPr>
                  <w:rPr>
                    <w:rFonts w:ascii="Cambria Math" w:hAnsi="Cambria Math"/>
                  </w:rPr>
                  <m:t>í</m:t>
                </m:r>
                <m:r>
                  <m:rPr>
                    <m:sty m:val="bi"/>
                  </m:rPr>
                  <w:rPr>
                    <w:rFonts w:ascii="Cambria Math" w:hAnsi="Cambria Math"/>
                  </w:rPr>
                  <m:t>ch</m:t>
                </m:r>
                <m:r>
                  <m:rPr>
                    <m:sty m:val="bi"/>
                  </m:rPr>
                  <w:rPr>
                    <w:rFonts w:ascii="Cambria Math" w:hAnsi="Cambria Math"/>
                  </w:rPr>
                  <m:t xml:space="preserve"> </m:t>
                </m:r>
                <m:r>
                  <m:rPr>
                    <m:sty m:val="bi"/>
                  </m:rPr>
                  <w:rPr>
                    <w:rFonts w:ascii="Cambria Math" w:hAnsi="Cambria Math"/>
                  </w:rPr>
                  <m:t>dn</m:t>
                </m:r>
                <m:r>
                  <m:rPr>
                    <m:sty m:val="bi"/>
                  </m:rPr>
                  <w:rPr>
                    <w:rFonts w:ascii="Cambria Math" w:hAnsi="Cambria Math"/>
                  </w:rPr>
                  <m:t xml:space="preserve">ů </m:t>
                </m:r>
                <m:r>
                  <m:rPr>
                    <m:sty m:val="bi"/>
                  </m:rPr>
                  <w:rPr>
                    <w:rFonts w:ascii="Cambria Math" w:hAnsi="Cambria Math"/>
                  </w:rPr>
                  <m:t>v</m:t>
                </m:r>
                <m:r>
                  <m:rPr>
                    <m:sty m:val="bi"/>
                  </m:rPr>
                  <w:rPr>
                    <w:rFonts w:ascii="Cambria Math" w:hAnsi="Cambria Math"/>
                  </w:rPr>
                  <m:t xml:space="preserve"> </m:t>
                </m:r>
                <m:r>
                  <m:rPr>
                    <m:sty m:val="bi"/>
                  </m:rPr>
                  <w:rPr>
                    <w:rFonts w:ascii="Cambria Math" w:hAnsi="Cambria Math"/>
                  </w:rPr>
                  <m:t>roce</m:t>
                </m:r>
                <m:r>
                  <m:rPr>
                    <m:sty m:val="b"/>
                  </m:rPr>
                  <w:rPr>
                    <w:rFonts w:ascii="Cambria Math" w:hAnsi="Cambria Math"/>
                  </w:rPr>
                  <m:t>×</m:t>
                </m:r>
                <m:sSub>
                  <m:sSubPr>
                    <m:ctrlPr>
                      <w:rPr>
                        <w:rFonts w:ascii="Cambria Math" w:hAnsi="Cambria Math"/>
                        <w:b/>
                      </w:rPr>
                    </m:ctrlPr>
                  </m:sSubPr>
                  <m:e>
                    <m:r>
                      <m:rPr>
                        <m:sty m:val="bi"/>
                      </m:rPr>
                      <w:rPr>
                        <w:rFonts w:ascii="Cambria Math" w:hAnsi="Cambria Math"/>
                      </w:rPr>
                      <m:t>O</m:t>
                    </m:r>
                  </m:e>
                  <m:sub>
                    <m:r>
                      <m:rPr>
                        <m:sty m:val="bi"/>
                      </m:rPr>
                      <w:rPr>
                        <w:rFonts w:ascii="Cambria Math" w:hAnsi="Cambria Math"/>
                      </w:rPr>
                      <m:t>B</m:t>
                    </m:r>
                  </m:sub>
                </m:sSub>
              </m:oMath>
            </m:oMathPara>
          </w:p>
        </w:tc>
      </w:tr>
    </w:tbl>
    <w:p w14:paraId="28C1E245" w14:textId="77777777" w:rsidR="00475554" w:rsidRDefault="00157B87">
      <w:pPr>
        <w:pStyle w:val="Odstavecseseznamem"/>
        <w:numPr>
          <w:ilvl w:val="0"/>
          <w:numId w:val="11"/>
        </w:numPr>
        <w:spacing w:before="120" w:after="120"/>
        <w:ind w:left="425" w:hanging="425"/>
        <w:contextualSpacing w:val="0"/>
        <w:jc w:val="both"/>
        <w:rPr>
          <w:b/>
        </w:rPr>
      </w:pPr>
      <w:r>
        <w:rPr>
          <w:rFonts w:cs="Arial"/>
          <w:b/>
        </w:rPr>
        <w:t xml:space="preserve">Ostatní výnosy </w:t>
      </w:r>
      <w:r>
        <w:rPr>
          <w:b/>
        </w:rPr>
        <w:t>= V</w:t>
      </w:r>
      <w:r>
        <w:rPr>
          <w:b/>
          <w:vertAlign w:val="subscript"/>
        </w:rPr>
        <w:t>O</w:t>
      </w:r>
    </w:p>
    <w:p w14:paraId="31122897" w14:textId="63147D8B" w:rsidR="00475554" w:rsidRDefault="00157B87">
      <w:pPr>
        <w:pStyle w:val="Odstavecseseznamem"/>
        <w:spacing w:before="120" w:after="120"/>
        <w:ind w:left="426"/>
        <w:contextualSpacing w:val="0"/>
        <w:jc w:val="both"/>
        <w:rPr>
          <w:spacing w:val="-6"/>
        </w:rPr>
      </w:pPr>
      <w:r>
        <w:rPr>
          <w:spacing w:val="-6"/>
        </w:rPr>
        <w:t>Ostatní výnosy zahrnují dary, výnosy z Nadací a nadačních fondů, zisky z let minulých apod.</w:t>
      </w:r>
    </w:p>
    <w:p w14:paraId="20ABF330" w14:textId="77777777" w:rsidR="00475554" w:rsidRDefault="00157B87">
      <w:pPr>
        <w:pStyle w:val="Odstavecseseznamem"/>
        <w:spacing w:before="120" w:after="120"/>
        <w:ind w:left="425"/>
        <w:contextualSpacing w:val="0"/>
        <w:jc w:val="both"/>
        <w:rPr>
          <w:rFonts w:cs="Arial"/>
        </w:rPr>
      </w:pPr>
      <w:r>
        <w:rPr>
          <w:rFonts w:cs="Arial"/>
        </w:rPr>
        <w:t>Ostatní výnosy jsou modelovány na základě analýzy zdrojů sociálních služeb na stanovenou jednotku sociální služby.</w:t>
      </w:r>
    </w:p>
    <w:p w14:paraId="7F9D331A" w14:textId="77777777" w:rsidR="00475554" w:rsidRDefault="00475554">
      <w:pPr>
        <w:spacing w:before="120" w:after="120"/>
        <w:jc w:val="both"/>
        <w:rPr>
          <w:rFonts w:cs="Arial"/>
        </w:rPr>
      </w:pPr>
    </w:p>
    <w:p w14:paraId="4CBE7544" w14:textId="77777777" w:rsidR="00475554" w:rsidRDefault="00157B87">
      <w:pPr>
        <w:spacing w:before="120" w:after="120"/>
        <w:jc w:val="both"/>
        <w:rPr>
          <w:b/>
        </w:rPr>
      </w:pPr>
      <w:r>
        <w:rPr>
          <w:b/>
        </w:rPr>
        <w:t>Obvyklé roční výnosy pobytových služeb sociální prevence se stanoví jako součet jednotlivých výnosů sociální služby na stanovenou jednotku násobeno celkovým počtem jednotek sociální služby dle Akčního plánu pro daný rok.</w:t>
      </w:r>
    </w:p>
    <w:p w14:paraId="41A57F41" w14:textId="77777777" w:rsidR="00475554" w:rsidRDefault="00475554">
      <w:pPr>
        <w:spacing w:before="120" w:after="120"/>
        <w:jc w:val="both"/>
      </w:pPr>
    </w:p>
    <w:p w14:paraId="050FBA62" w14:textId="6CE721EB" w:rsidR="00475554" w:rsidRDefault="00157B87">
      <w:pPr>
        <w:pStyle w:val="Titulek"/>
        <w:spacing w:before="120" w:after="120" w:line="276" w:lineRule="auto"/>
        <w:jc w:val="both"/>
        <w:rPr>
          <w:b w:val="0"/>
          <w:color w:val="auto"/>
          <w:sz w:val="22"/>
          <w:szCs w:val="22"/>
        </w:rPr>
      </w:pPr>
      <w:bookmarkStart w:id="70" w:name="_Toc230769883"/>
      <w:r>
        <w:rPr>
          <w:color w:val="000000" w:themeColor="text1"/>
          <w:sz w:val="22"/>
          <w:szCs w:val="22"/>
        </w:rPr>
        <w:t>Tabulka č. </w:t>
      </w:r>
      <w:r>
        <w:rPr>
          <w:color w:val="000000" w:themeColor="text1"/>
          <w:sz w:val="22"/>
          <w:szCs w:val="22"/>
        </w:rPr>
        <w:fldChar w:fldCharType="begin"/>
      </w:r>
      <w:r>
        <w:rPr>
          <w:color w:val="000000" w:themeColor="text1"/>
          <w:sz w:val="22"/>
          <w:szCs w:val="22"/>
        </w:rPr>
        <w:instrText xml:space="preserve"> SEQ Tabulka_č. \* ARABIC </w:instrText>
      </w:r>
      <w:r>
        <w:rPr>
          <w:color w:val="000000" w:themeColor="text1"/>
          <w:sz w:val="22"/>
          <w:szCs w:val="22"/>
        </w:rPr>
        <w:fldChar w:fldCharType="separate"/>
      </w:r>
      <w:r w:rsidR="000A1D98">
        <w:rPr>
          <w:noProof/>
          <w:color w:val="000000" w:themeColor="text1"/>
          <w:sz w:val="22"/>
          <w:szCs w:val="22"/>
        </w:rPr>
        <w:t>2</w:t>
      </w:r>
      <w:r>
        <w:rPr>
          <w:color w:val="000000" w:themeColor="text1"/>
          <w:sz w:val="22"/>
          <w:szCs w:val="22"/>
        </w:rPr>
        <w:fldChar w:fldCharType="end"/>
      </w:r>
      <w:r>
        <w:rPr>
          <w:color w:val="000000" w:themeColor="text1"/>
          <w:spacing w:val="-2"/>
          <w:sz w:val="22"/>
          <w:szCs w:val="22"/>
        </w:rPr>
        <w:t xml:space="preserve">: </w:t>
      </w:r>
      <w:r>
        <w:rPr>
          <w:b w:val="0"/>
          <w:bCs w:val="0"/>
          <w:color w:val="000000" w:themeColor="text1"/>
          <w:sz w:val="22"/>
          <w:szCs w:val="22"/>
        </w:rPr>
        <w:t xml:space="preserve">Znázornění </w:t>
      </w:r>
      <w:r>
        <w:rPr>
          <w:b w:val="0"/>
          <w:bCs w:val="0"/>
          <w:color w:val="auto"/>
          <w:sz w:val="22"/>
          <w:szCs w:val="22"/>
        </w:rPr>
        <w:t>výpočtu</w:t>
      </w:r>
      <w:r>
        <w:rPr>
          <w:b w:val="0"/>
          <w:color w:val="auto"/>
          <w:sz w:val="22"/>
          <w:szCs w:val="22"/>
        </w:rPr>
        <w:t xml:space="preserve"> obvyklých výnosů pro konkrétní druhy pobytových služeb sociální prevence</w:t>
      </w:r>
      <w:bookmarkEnd w:id="70"/>
    </w:p>
    <w:tbl>
      <w:tblPr>
        <w:tblW w:w="9069" w:type="dxa"/>
        <w:jc w:val="center"/>
        <w:tblLayout w:type="fixed"/>
        <w:tblCellMar>
          <w:left w:w="70" w:type="dxa"/>
          <w:right w:w="70" w:type="dxa"/>
        </w:tblCellMar>
        <w:tblLook w:val="04A0" w:firstRow="1" w:lastRow="0" w:firstColumn="1" w:lastColumn="0" w:noHBand="0" w:noVBand="1"/>
      </w:tblPr>
      <w:tblGrid>
        <w:gridCol w:w="4673"/>
        <w:gridCol w:w="4396"/>
      </w:tblGrid>
      <w:tr w:rsidR="00475554" w14:paraId="53762FAA" w14:textId="77777777">
        <w:trPr>
          <w:cantSplit/>
          <w:trHeight w:val="454"/>
          <w:jc w:val="center"/>
        </w:trPr>
        <w:tc>
          <w:tcPr>
            <w:tcW w:w="467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76DE5F1"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lastRenderedPageBreak/>
              <w:t>Druh sociální služby</w:t>
            </w:r>
          </w:p>
        </w:tc>
        <w:tc>
          <w:tcPr>
            <w:tcW w:w="4396"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5E1B2C0F"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Vzorec</w:t>
            </w:r>
          </w:p>
        </w:tc>
      </w:tr>
      <w:tr w:rsidR="00475554" w14:paraId="132FC9CA" w14:textId="77777777">
        <w:trPr>
          <w:cantSplit/>
          <w:trHeight w:val="454"/>
          <w:jc w:val="center"/>
        </w:trPr>
        <w:tc>
          <w:tcPr>
            <w:tcW w:w="4673" w:type="dxa"/>
            <w:tcBorders>
              <w:top w:val="single" w:sz="4" w:space="0" w:color="auto"/>
              <w:left w:val="single" w:sz="4" w:space="0" w:color="auto"/>
              <w:bottom w:val="single" w:sz="4" w:space="0" w:color="auto"/>
              <w:right w:val="single" w:sz="4" w:space="0" w:color="auto"/>
            </w:tcBorders>
            <w:noWrap/>
            <w:vAlign w:val="center"/>
          </w:tcPr>
          <w:p w14:paraId="780F5C07"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Azylové domy (cílová skupina muži a ženy bez přístřeší)</w:t>
            </w:r>
          </w:p>
          <w:p w14:paraId="004A7F7E"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Domy na půl cesty</w:t>
            </w:r>
          </w:p>
          <w:p w14:paraId="4509BD7F"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Služby následné péče</w:t>
            </w:r>
          </w:p>
          <w:p w14:paraId="21B777DF"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Sociální rehabilitace</w:t>
            </w:r>
          </w:p>
          <w:p w14:paraId="167E79DC"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Terapeutické komunity</w:t>
            </w:r>
          </w:p>
        </w:tc>
        <w:tc>
          <w:tcPr>
            <w:tcW w:w="4396" w:type="dxa"/>
            <w:tcBorders>
              <w:top w:val="single" w:sz="4" w:space="0" w:color="auto"/>
              <w:left w:val="nil"/>
              <w:bottom w:val="single" w:sz="4" w:space="0" w:color="auto"/>
              <w:right w:val="single" w:sz="4" w:space="0" w:color="auto"/>
            </w:tcBorders>
            <w:noWrap/>
            <w:vAlign w:val="center"/>
          </w:tcPr>
          <w:p w14:paraId="0D15AA37" w14:textId="77777777" w:rsidR="00475554" w:rsidRDefault="00157B87">
            <w:pPr>
              <w:spacing w:before="60" w:after="60" w:line="240" w:lineRule="auto"/>
              <w:rPr>
                <w:rFonts w:ascii="Calibri" w:hAnsi="Calibri"/>
                <w:b/>
                <w:color w:val="000000"/>
                <w:sz w:val="20"/>
                <w:szCs w:val="20"/>
              </w:rPr>
            </w:pPr>
            <w:r>
              <w:rPr>
                <w:rFonts w:ascii="Calibri" w:hAnsi="Calibri"/>
                <w:b/>
                <w:color w:val="000000"/>
                <w:sz w:val="20"/>
                <w:szCs w:val="20"/>
              </w:rPr>
              <w:t>(</w:t>
            </w:r>
            <w:r>
              <w:rPr>
                <w:rFonts w:cs="Arial"/>
                <w:b/>
                <w:sz w:val="20"/>
                <w:szCs w:val="20"/>
              </w:rPr>
              <w:t>V</w:t>
            </w:r>
            <w:r>
              <w:rPr>
                <w:rFonts w:cs="Arial"/>
                <w:b/>
                <w:sz w:val="20"/>
                <w:szCs w:val="20"/>
                <w:vertAlign w:val="subscript"/>
              </w:rPr>
              <w:t xml:space="preserve">P </w:t>
            </w:r>
            <w:r>
              <w:rPr>
                <w:rFonts w:cs="Arial"/>
                <w:b/>
                <w:sz w:val="20"/>
                <w:szCs w:val="20"/>
              </w:rPr>
              <w:t>+ V</w:t>
            </w:r>
            <w:r>
              <w:rPr>
                <w:rFonts w:cs="Arial"/>
                <w:b/>
                <w:sz w:val="20"/>
                <w:szCs w:val="20"/>
                <w:vertAlign w:val="subscript"/>
              </w:rPr>
              <w:t>O</w:t>
            </w:r>
            <w:r>
              <w:rPr>
                <w:rFonts w:ascii="Calibri" w:hAnsi="Calibri"/>
                <w:b/>
                <w:color w:val="000000"/>
                <w:sz w:val="20"/>
                <w:szCs w:val="20"/>
              </w:rPr>
              <w:t xml:space="preserve">) x celkový počet jednotek služby dle AP </w:t>
            </w:r>
          </w:p>
        </w:tc>
      </w:tr>
      <w:tr w:rsidR="00475554" w14:paraId="36938150" w14:textId="77777777">
        <w:trPr>
          <w:cantSplit/>
          <w:trHeight w:val="454"/>
          <w:jc w:val="center"/>
        </w:trPr>
        <w:tc>
          <w:tcPr>
            <w:tcW w:w="4673" w:type="dxa"/>
            <w:tcBorders>
              <w:top w:val="single" w:sz="4" w:space="0" w:color="auto"/>
              <w:left w:val="single" w:sz="4" w:space="0" w:color="auto"/>
              <w:bottom w:val="single" w:sz="4" w:space="0" w:color="auto"/>
              <w:right w:val="single" w:sz="4" w:space="0" w:color="auto"/>
            </w:tcBorders>
            <w:noWrap/>
            <w:vAlign w:val="center"/>
          </w:tcPr>
          <w:p w14:paraId="2B5CFAA3"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Azylové domy (cílová skupina rodiny s dětmi)</w:t>
            </w:r>
          </w:p>
        </w:tc>
        <w:tc>
          <w:tcPr>
            <w:tcW w:w="4396" w:type="dxa"/>
            <w:tcBorders>
              <w:top w:val="single" w:sz="4" w:space="0" w:color="auto"/>
              <w:left w:val="nil"/>
              <w:bottom w:val="single" w:sz="4" w:space="0" w:color="auto"/>
              <w:right w:val="single" w:sz="4" w:space="0" w:color="auto"/>
            </w:tcBorders>
            <w:noWrap/>
            <w:vAlign w:val="center"/>
          </w:tcPr>
          <w:p w14:paraId="29081828" w14:textId="77777777" w:rsidR="00475554" w:rsidRDefault="00157B87">
            <w:pPr>
              <w:spacing w:before="60" w:after="60" w:line="240" w:lineRule="auto"/>
              <w:rPr>
                <w:rFonts w:ascii="Calibri" w:hAnsi="Calibri"/>
                <w:b/>
                <w:color w:val="000000"/>
                <w:sz w:val="20"/>
                <w:szCs w:val="20"/>
                <w:highlight w:val="cyan"/>
              </w:rPr>
            </w:pPr>
            <w:r>
              <w:rPr>
                <w:rFonts w:ascii="Calibri" w:hAnsi="Calibri"/>
                <w:b/>
                <w:color w:val="000000"/>
                <w:sz w:val="20"/>
                <w:szCs w:val="20"/>
              </w:rPr>
              <w:t>(</w:t>
            </w:r>
            <w:r>
              <w:rPr>
                <w:rFonts w:cs="Arial"/>
                <w:b/>
                <w:sz w:val="20"/>
                <w:szCs w:val="20"/>
              </w:rPr>
              <w:t>V</w:t>
            </w:r>
            <w:r>
              <w:rPr>
                <w:rFonts w:cs="Arial"/>
                <w:b/>
                <w:sz w:val="20"/>
                <w:szCs w:val="20"/>
                <w:vertAlign w:val="subscript"/>
              </w:rPr>
              <w:t xml:space="preserve">PAR </w:t>
            </w:r>
            <w:r>
              <w:rPr>
                <w:rFonts w:cs="Arial"/>
                <w:b/>
                <w:sz w:val="20"/>
                <w:szCs w:val="20"/>
              </w:rPr>
              <w:t>+ V</w:t>
            </w:r>
            <w:r>
              <w:rPr>
                <w:rFonts w:cs="Arial"/>
                <w:b/>
                <w:sz w:val="20"/>
                <w:szCs w:val="20"/>
                <w:vertAlign w:val="subscript"/>
              </w:rPr>
              <w:t>O</w:t>
            </w:r>
            <w:r>
              <w:rPr>
                <w:rFonts w:ascii="Calibri" w:hAnsi="Calibri"/>
                <w:b/>
                <w:color w:val="000000"/>
                <w:sz w:val="20"/>
                <w:szCs w:val="20"/>
              </w:rPr>
              <w:t>) x celkový počet jednotek služby dle AP</w:t>
            </w:r>
          </w:p>
        </w:tc>
      </w:tr>
      <w:tr w:rsidR="00475554" w14:paraId="7CFA4C16" w14:textId="77777777">
        <w:trPr>
          <w:cantSplit/>
          <w:trHeight w:val="454"/>
          <w:jc w:val="center"/>
        </w:trPr>
        <w:tc>
          <w:tcPr>
            <w:tcW w:w="4673" w:type="dxa"/>
            <w:tcBorders>
              <w:top w:val="single" w:sz="4" w:space="0" w:color="auto"/>
              <w:left w:val="single" w:sz="4" w:space="0" w:color="auto"/>
              <w:bottom w:val="single" w:sz="4" w:space="0" w:color="auto"/>
              <w:right w:val="single" w:sz="4" w:space="0" w:color="auto"/>
            </w:tcBorders>
            <w:noWrap/>
            <w:vAlign w:val="center"/>
          </w:tcPr>
          <w:p w14:paraId="53D4982D"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Intervenční centra</w:t>
            </w:r>
          </w:p>
          <w:p w14:paraId="1DDEE671" w14:textId="4E820C89" w:rsidR="007877AC" w:rsidRDefault="00157B87">
            <w:pPr>
              <w:spacing w:before="60" w:after="60" w:line="240" w:lineRule="auto"/>
              <w:rPr>
                <w:rFonts w:ascii="Calibri" w:hAnsi="Calibri"/>
                <w:color w:val="000000"/>
                <w:sz w:val="20"/>
                <w:szCs w:val="20"/>
              </w:rPr>
            </w:pPr>
            <w:r>
              <w:rPr>
                <w:rFonts w:ascii="Calibri" w:hAnsi="Calibri"/>
                <w:color w:val="000000"/>
                <w:sz w:val="20"/>
                <w:szCs w:val="20"/>
              </w:rPr>
              <w:t>Krizová pomoc</w:t>
            </w:r>
          </w:p>
        </w:tc>
        <w:tc>
          <w:tcPr>
            <w:tcW w:w="4396" w:type="dxa"/>
            <w:tcBorders>
              <w:top w:val="single" w:sz="4" w:space="0" w:color="auto"/>
              <w:left w:val="nil"/>
              <w:bottom w:val="single" w:sz="4" w:space="0" w:color="auto"/>
              <w:right w:val="single" w:sz="4" w:space="0" w:color="auto"/>
            </w:tcBorders>
            <w:noWrap/>
            <w:vAlign w:val="center"/>
          </w:tcPr>
          <w:p w14:paraId="0B3B4CB4" w14:textId="77777777" w:rsidR="00475554" w:rsidRDefault="00157B87">
            <w:pPr>
              <w:spacing w:before="60" w:after="60" w:line="240" w:lineRule="auto"/>
              <w:rPr>
                <w:rFonts w:ascii="Calibri" w:hAnsi="Calibri"/>
                <w:b/>
                <w:color w:val="000000"/>
                <w:sz w:val="20"/>
                <w:szCs w:val="20"/>
                <w:highlight w:val="cyan"/>
              </w:rPr>
            </w:pPr>
            <w:r>
              <w:rPr>
                <w:rFonts w:cs="Arial"/>
                <w:b/>
                <w:sz w:val="20"/>
                <w:szCs w:val="20"/>
              </w:rPr>
              <w:t>V</w:t>
            </w:r>
            <w:r>
              <w:rPr>
                <w:rFonts w:cs="Arial"/>
                <w:b/>
                <w:sz w:val="20"/>
                <w:szCs w:val="20"/>
                <w:vertAlign w:val="subscript"/>
              </w:rPr>
              <w:t>O</w:t>
            </w:r>
            <w:r>
              <w:rPr>
                <w:rFonts w:ascii="Calibri" w:hAnsi="Calibri"/>
                <w:b/>
                <w:color w:val="000000"/>
                <w:sz w:val="20"/>
                <w:szCs w:val="20"/>
              </w:rPr>
              <w:t xml:space="preserve"> x celkový počet jednotek služby dle AP</w:t>
            </w:r>
          </w:p>
        </w:tc>
      </w:tr>
    </w:tbl>
    <w:p w14:paraId="2945D8C3" w14:textId="77777777" w:rsidR="00475554" w:rsidRDefault="00475554">
      <w:pPr>
        <w:spacing w:before="120" w:after="120"/>
        <w:jc w:val="both"/>
      </w:pPr>
    </w:p>
    <w:p w14:paraId="7799728D" w14:textId="77777777" w:rsidR="00475554" w:rsidRDefault="00157B87">
      <w:pPr>
        <w:pStyle w:val="Nadpis3"/>
        <w:spacing w:before="120" w:after="120"/>
        <w:ind w:left="709" w:hanging="709"/>
        <w:jc w:val="both"/>
        <w:rPr>
          <w:rFonts w:ascii="Calibri" w:hAnsi="Calibri"/>
          <w:sz w:val="24"/>
          <w:szCs w:val="24"/>
        </w:rPr>
      </w:pPr>
      <w:bookmarkStart w:id="71" w:name="_Toc386625354"/>
      <w:bookmarkStart w:id="72" w:name="_Toc385925701"/>
      <w:bookmarkStart w:id="73" w:name="_Toc230777921"/>
      <w:r>
        <w:rPr>
          <w:rFonts w:ascii="Calibri" w:hAnsi="Calibri"/>
          <w:sz w:val="24"/>
          <w:szCs w:val="24"/>
        </w:rPr>
        <w:t>Stanovení vyrovnávací platby</w:t>
      </w:r>
      <w:bookmarkEnd w:id="71"/>
      <w:bookmarkEnd w:id="72"/>
      <w:r>
        <w:rPr>
          <w:rFonts w:ascii="Calibri" w:hAnsi="Calibri"/>
          <w:sz w:val="24"/>
          <w:szCs w:val="24"/>
        </w:rPr>
        <w:t xml:space="preserve"> pobytových sociálních služeb</w:t>
      </w:r>
      <w:bookmarkEnd w:id="73"/>
    </w:p>
    <w:p w14:paraId="54CC7086" w14:textId="77777777" w:rsidR="00475554" w:rsidRDefault="00475554">
      <w:pPr>
        <w:spacing w:before="120" w:after="120"/>
        <w:jc w:val="both"/>
      </w:pPr>
    </w:p>
    <w:p w14:paraId="4205B4B3" w14:textId="77777777" w:rsidR="00475554" w:rsidRDefault="00157B87">
      <w:pPr>
        <w:spacing w:before="120" w:after="240"/>
        <w:jc w:val="both"/>
      </w:pPr>
      <w:r>
        <w:t>Vyrovnávací platba se stanoví jako rozdíl mezi obvyklými náklady sociální služby (bod 5.1.1 tohoto dokumentu) a obvyklými výnosy sociální služby (bod 5.1.2 tohoto dokumentu) pro každý příslušný rok na základě provedené analýzy.</w:t>
      </w:r>
    </w:p>
    <w:p w14:paraId="6FF1FFB5" w14:textId="785633CC" w:rsidR="00475554" w:rsidRDefault="00157B87">
      <w:pPr>
        <w:pStyle w:val="Titulek"/>
        <w:numPr>
          <w:ilvl w:val="0"/>
          <w:numId w:val="27"/>
        </w:numPr>
        <w:spacing w:before="120" w:after="120" w:line="276" w:lineRule="auto"/>
        <w:ind w:left="426" w:hanging="426"/>
        <w:jc w:val="both"/>
        <w:rPr>
          <w:b w:val="0"/>
          <w:bCs w:val="0"/>
          <w:color w:val="auto"/>
          <w:sz w:val="22"/>
          <w:szCs w:val="22"/>
        </w:rPr>
      </w:pPr>
      <w:r>
        <w:rPr>
          <w:bCs w:val="0"/>
          <w:color w:val="auto"/>
          <w:sz w:val="22"/>
          <w:szCs w:val="22"/>
        </w:rPr>
        <w:t>Celkový podíl územních samosprávných celků</w:t>
      </w:r>
      <w:r>
        <w:rPr>
          <w:b w:val="0"/>
          <w:bCs w:val="0"/>
          <w:color w:val="auto"/>
          <w:sz w:val="22"/>
          <w:szCs w:val="22"/>
        </w:rPr>
        <w:t xml:space="preserve"> je rozdělen na podíl Zlínského kraje a podíl obcí.</w:t>
      </w:r>
      <w:r w:rsidR="00452296">
        <w:rPr>
          <w:b w:val="0"/>
          <w:bCs w:val="0"/>
          <w:color w:val="auto"/>
          <w:sz w:val="22"/>
          <w:szCs w:val="22"/>
        </w:rPr>
        <w:t xml:space="preserve"> </w:t>
      </w:r>
      <w:r w:rsidR="00793FE2">
        <w:rPr>
          <w:b w:val="0"/>
          <w:bCs w:val="0"/>
          <w:color w:val="auto"/>
          <w:sz w:val="22"/>
          <w:szCs w:val="22"/>
        </w:rPr>
        <w:t>Jedná se o modelaci optimální</w:t>
      </w:r>
      <w:r w:rsidR="000816EA">
        <w:rPr>
          <w:b w:val="0"/>
          <w:bCs w:val="0"/>
          <w:color w:val="auto"/>
          <w:sz w:val="22"/>
          <w:szCs w:val="22"/>
        </w:rPr>
        <w:t>ch</w:t>
      </w:r>
      <w:r w:rsidR="00793FE2">
        <w:rPr>
          <w:b w:val="0"/>
          <w:bCs w:val="0"/>
          <w:color w:val="auto"/>
          <w:sz w:val="22"/>
          <w:szCs w:val="22"/>
        </w:rPr>
        <w:t xml:space="preserve"> podílů </w:t>
      </w:r>
      <w:r w:rsidR="000F4085">
        <w:rPr>
          <w:b w:val="0"/>
          <w:bCs w:val="0"/>
          <w:color w:val="auto"/>
          <w:sz w:val="22"/>
          <w:szCs w:val="22"/>
        </w:rPr>
        <w:t>na obvykl</w:t>
      </w:r>
      <w:r w:rsidR="00194699">
        <w:rPr>
          <w:b w:val="0"/>
          <w:bCs w:val="0"/>
          <w:color w:val="auto"/>
          <w:sz w:val="22"/>
          <w:szCs w:val="22"/>
        </w:rPr>
        <w:t>ých</w:t>
      </w:r>
      <w:r w:rsidR="000F4085">
        <w:rPr>
          <w:b w:val="0"/>
          <w:bCs w:val="0"/>
          <w:color w:val="auto"/>
          <w:sz w:val="22"/>
          <w:szCs w:val="22"/>
        </w:rPr>
        <w:t xml:space="preserve"> náklad</w:t>
      </w:r>
      <w:r w:rsidR="00194699">
        <w:rPr>
          <w:b w:val="0"/>
          <w:bCs w:val="0"/>
          <w:color w:val="auto"/>
          <w:sz w:val="22"/>
          <w:szCs w:val="22"/>
        </w:rPr>
        <w:t>ech</w:t>
      </w:r>
      <w:r w:rsidR="000F4085">
        <w:rPr>
          <w:b w:val="0"/>
          <w:bCs w:val="0"/>
          <w:color w:val="auto"/>
          <w:sz w:val="22"/>
          <w:szCs w:val="22"/>
        </w:rPr>
        <w:t xml:space="preserve"> </w:t>
      </w:r>
      <w:r w:rsidR="00793FE2">
        <w:rPr>
          <w:b w:val="0"/>
          <w:bCs w:val="0"/>
          <w:color w:val="auto"/>
          <w:sz w:val="22"/>
          <w:szCs w:val="22"/>
        </w:rPr>
        <w:t>z jednotlivých ÚSC.</w:t>
      </w:r>
    </w:p>
    <w:p w14:paraId="31EBA3F0" w14:textId="6FDD559B" w:rsidR="00475554" w:rsidRDefault="00157B87">
      <w:pPr>
        <w:pStyle w:val="Odstavecseseznamem"/>
        <w:numPr>
          <w:ilvl w:val="0"/>
          <w:numId w:val="27"/>
        </w:numPr>
        <w:spacing w:before="120" w:after="120"/>
        <w:ind w:left="425" w:hanging="425"/>
        <w:contextualSpacing w:val="0"/>
        <w:jc w:val="both"/>
      </w:pPr>
      <w:r>
        <w:rPr>
          <w:b/>
        </w:rPr>
        <w:t>Podíl finančních prostředků poskytnutých krajem dle § 101a</w:t>
      </w:r>
      <w:r>
        <w:t xml:space="preserve"> zákona </w:t>
      </w:r>
      <w:r w:rsidR="00077C41">
        <w:t>č. 108/2006 Sb.</w:t>
      </w:r>
      <w:r>
        <w:t xml:space="preserve"> je modelován jako dorovnání provozní ztráty při modelovaných výnosech základních činností sociálních služeb (včetně podílu územních samosprávných celků).</w:t>
      </w:r>
    </w:p>
    <w:p w14:paraId="37FCF84B" w14:textId="77777777" w:rsidR="00475554" w:rsidRDefault="00475554">
      <w:pPr>
        <w:pStyle w:val="Odstavecseseznamem"/>
        <w:spacing w:before="120" w:after="120"/>
        <w:ind w:left="0"/>
        <w:contextualSpacing w:val="0"/>
        <w:jc w:val="both"/>
      </w:pPr>
    </w:p>
    <w:p w14:paraId="7ECE215F" w14:textId="691BC64B" w:rsidR="00475554" w:rsidRDefault="00157B87">
      <w:pPr>
        <w:pStyle w:val="Titulek"/>
        <w:spacing w:before="120" w:after="120" w:line="276" w:lineRule="auto"/>
        <w:jc w:val="both"/>
        <w:rPr>
          <w:b w:val="0"/>
          <w:color w:val="000000" w:themeColor="text1"/>
          <w:sz w:val="22"/>
          <w:szCs w:val="22"/>
        </w:rPr>
      </w:pPr>
      <w:bookmarkStart w:id="74" w:name="_Toc230769884"/>
      <w:r>
        <w:rPr>
          <w:color w:val="000000" w:themeColor="text1"/>
          <w:sz w:val="22"/>
          <w:szCs w:val="22"/>
        </w:rPr>
        <w:t>Tabulka č. </w:t>
      </w:r>
      <w:r>
        <w:rPr>
          <w:color w:val="000000" w:themeColor="text1"/>
          <w:sz w:val="22"/>
          <w:szCs w:val="22"/>
        </w:rPr>
        <w:fldChar w:fldCharType="begin"/>
      </w:r>
      <w:r>
        <w:rPr>
          <w:color w:val="000000" w:themeColor="text1"/>
          <w:sz w:val="22"/>
          <w:szCs w:val="22"/>
        </w:rPr>
        <w:instrText xml:space="preserve"> SEQ Tabulka_č. \* ARABIC </w:instrText>
      </w:r>
      <w:r>
        <w:rPr>
          <w:color w:val="000000" w:themeColor="text1"/>
          <w:sz w:val="22"/>
          <w:szCs w:val="22"/>
        </w:rPr>
        <w:fldChar w:fldCharType="separate"/>
      </w:r>
      <w:r w:rsidR="000A1D98">
        <w:rPr>
          <w:noProof/>
          <w:color w:val="000000" w:themeColor="text1"/>
          <w:sz w:val="22"/>
          <w:szCs w:val="22"/>
        </w:rPr>
        <w:t>3</w:t>
      </w:r>
      <w:r>
        <w:rPr>
          <w:color w:val="000000" w:themeColor="text1"/>
          <w:sz w:val="22"/>
          <w:szCs w:val="22"/>
        </w:rPr>
        <w:fldChar w:fldCharType="end"/>
      </w:r>
      <w:r>
        <w:rPr>
          <w:color w:val="000000" w:themeColor="text1"/>
          <w:sz w:val="22"/>
          <w:szCs w:val="22"/>
        </w:rPr>
        <w:t>:</w:t>
      </w:r>
      <w:r>
        <w:rPr>
          <w:b w:val="0"/>
          <w:color w:val="000000" w:themeColor="text1"/>
          <w:sz w:val="22"/>
          <w:szCs w:val="22"/>
        </w:rPr>
        <w:t xml:space="preserve"> Přehled členění druhů pobytových služeb sociální péče a sociální prevence a předpokládaných podílů územních samosprávných celků na </w:t>
      </w:r>
      <w:r w:rsidR="00194699">
        <w:rPr>
          <w:b w:val="0"/>
          <w:color w:val="000000" w:themeColor="text1"/>
          <w:sz w:val="22"/>
          <w:szCs w:val="22"/>
        </w:rPr>
        <w:t xml:space="preserve">obvyklých </w:t>
      </w:r>
      <w:r>
        <w:rPr>
          <w:b w:val="0"/>
          <w:color w:val="000000" w:themeColor="text1"/>
          <w:sz w:val="22"/>
          <w:szCs w:val="22"/>
        </w:rPr>
        <w:t>nákladech</w:t>
      </w:r>
      <w:bookmarkEnd w:id="74"/>
    </w:p>
    <w:tbl>
      <w:tblPr>
        <w:tblW w:w="9072" w:type="dxa"/>
        <w:tblInd w:w="-5" w:type="dxa"/>
        <w:tblLayout w:type="fixed"/>
        <w:tblCellMar>
          <w:left w:w="70" w:type="dxa"/>
          <w:right w:w="70" w:type="dxa"/>
        </w:tblCellMar>
        <w:tblLook w:val="04A0" w:firstRow="1" w:lastRow="0" w:firstColumn="1" w:lastColumn="0" w:noHBand="0" w:noVBand="1"/>
      </w:tblPr>
      <w:tblGrid>
        <w:gridCol w:w="2410"/>
        <w:gridCol w:w="1276"/>
        <w:gridCol w:w="1134"/>
        <w:gridCol w:w="1134"/>
        <w:gridCol w:w="992"/>
        <w:gridCol w:w="1063"/>
        <w:gridCol w:w="1063"/>
      </w:tblGrid>
      <w:tr w:rsidR="00C5007F" w14:paraId="3EC36C6A" w14:textId="77777777" w:rsidTr="002770CE">
        <w:trPr>
          <w:cantSplit/>
          <w:trHeight w:val="454"/>
          <w:tblHeader/>
        </w:trPr>
        <w:tc>
          <w:tcPr>
            <w:tcW w:w="241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4E32855"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 xml:space="preserve">Druh </w:t>
            </w:r>
          </w:p>
          <w:p w14:paraId="598F113B"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sociální služby</w:t>
            </w:r>
          </w:p>
        </w:tc>
        <w:tc>
          <w:tcPr>
            <w:tcW w:w="2410" w:type="dxa"/>
            <w:gridSpan w:val="2"/>
            <w:tcBorders>
              <w:top w:val="single" w:sz="4" w:space="0" w:color="auto"/>
              <w:left w:val="nil"/>
              <w:bottom w:val="single" w:sz="4" w:space="0" w:color="auto"/>
              <w:right w:val="single" w:sz="4" w:space="0" w:color="auto"/>
            </w:tcBorders>
            <w:shd w:val="clear" w:color="auto" w:fill="BFBFBF" w:themeFill="background1" w:themeFillShade="BF"/>
            <w:vAlign w:val="center"/>
          </w:tcPr>
          <w:p w14:paraId="6094E1CB"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Skupina sociální služby**</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AA70F06"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 xml:space="preserve">Jednotka </w:t>
            </w:r>
          </w:p>
          <w:p w14:paraId="05F830B3"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sociální služby</w:t>
            </w:r>
          </w:p>
        </w:tc>
        <w:tc>
          <w:tcPr>
            <w:tcW w:w="992" w:type="dxa"/>
            <w:vMerge w:val="restart"/>
            <w:tcBorders>
              <w:top w:val="single" w:sz="4" w:space="0" w:color="auto"/>
              <w:bottom w:val="single" w:sz="4" w:space="0" w:color="auto"/>
              <w:right w:val="single" w:sz="4" w:space="0" w:color="auto"/>
            </w:tcBorders>
            <w:shd w:val="clear" w:color="auto" w:fill="BFBFBF" w:themeFill="background1" w:themeFillShade="BF"/>
            <w:vAlign w:val="center"/>
          </w:tcPr>
          <w:p w14:paraId="1D70FC80"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Podíl ÚSC celkem</w:t>
            </w:r>
          </w:p>
        </w:tc>
        <w:tc>
          <w:tcPr>
            <w:tcW w:w="2126" w:type="dxa"/>
            <w:gridSpan w:val="2"/>
            <w:tcBorders>
              <w:top w:val="single" w:sz="4" w:space="0" w:color="auto"/>
              <w:bottom w:val="single" w:sz="4" w:space="0" w:color="auto"/>
              <w:right w:val="single" w:sz="4" w:space="0" w:color="auto"/>
            </w:tcBorders>
            <w:shd w:val="clear" w:color="auto" w:fill="BFBFBF" w:themeFill="background1" w:themeFillShade="BF"/>
            <w:vAlign w:val="center"/>
          </w:tcPr>
          <w:p w14:paraId="12937A31"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z toho:</w:t>
            </w:r>
          </w:p>
        </w:tc>
      </w:tr>
      <w:tr w:rsidR="00C5007F" w14:paraId="1CD57743" w14:textId="77777777" w:rsidTr="002770CE">
        <w:trPr>
          <w:cantSplit/>
          <w:trHeight w:val="454"/>
          <w:tblHeader/>
        </w:trPr>
        <w:tc>
          <w:tcPr>
            <w:tcW w:w="2410" w:type="dxa"/>
            <w:vMerge/>
            <w:tcBorders>
              <w:top w:val="single" w:sz="4" w:space="0" w:color="auto"/>
              <w:left w:val="single" w:sz="4" w:space="0" w:color="auto"/>
              <w:bottom w:val="single" w:sz="4" w:space="0" w:color="auto"/>
              <w:right w:val="single" w:sz="4" w:space="0" w:color="auto"/>
            </w:tcBorders>
            <w:noWrap/>
            <w:vAlign w:val="center"/>
          </w:tcPr>
          <w:p w14:paraId="6A22E457" w14:textId="77777777" w:rsidR="00475554" w:rsidRDefault="00475554">
            <w:pPr>
              <w:spacing w:before="60" w:after="60" w:line="240" w:lineRule="auto"/>
              <w:jc w:val="center"/>
              <w:rPr>
                <w:rFonts w:ascii="Calibri" w:eastAsia="Times New Roman" w:hAnsi="Calibri" w:cs="Times New Roman"/>
                <w:b/>
                <w:color w:val="000000"/>
                <w:sz w:val="20"/>
                <w:szCs w:val="20"/>
                <w:lang w:eastAsia="cs-CZ"/>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9EC288"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Cílová skupina</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099CEF3"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pacing w:val="-2"/>
                <w:sz w:val="20"/>
                <w:szCs w:val="20"/>
                <w:lang w:eastAsia="cs-CZ"/>
              </w:rPr>
              <w:t>Kapacita</w:t>
            </w:r>
          </w:p>
        </w:tc>
        <w:tc>
          <w:tcPr>
            <w:tcW w:w="1134" w:type="dxa"/>
            <w:vMerge/>
            <w:tcBorders>
              <w:top w:val="single" w:sz="4" w:space="0" w:color="auto"/>
              <w:left w:val="single" w:sz="4" w:space="0" w:color="auto"/>
              <w:bottom w:val="single" w:sz="4" w:space="0" w:color="auto"/>
              <w:right w:val="single" w:sz="4" w:space="0" w:color="auto"/>
            </w:tcBorders>
            <w:vAlign w:val="center"/>
          </w:tcPr>
          <w:p w14:paraId="27A4F734" w14:textId="77777777" w:rsidR="00475554" w:rsidRDefault="00475554">
            <w:pPr>
              <w:spacing w:before="60" w:after="60" w:line="240" w:lineRule="auto"/>
              <w:jc w:val="center"/>
              <w:rPr>
                <w:rFonts w:ascii="Calibri" w:eastAsia="Times New Roman" w:hAnsi="Calibri" w:cs="Times New Roman"/>
                <w:b/>
                <w:color w:val="000000"/>
                <w:sz w:val="20"/>
                <w:szCs w:val="20"/>
                <w:lang w:eastAsia="cs-CZ"/>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EAC3ED5" w14:textId="77777777" w:rsidR="00475554" w:rsidRDefault="00475554">
            <w:pPr>
              <w:spacing w:before="60" w:after="60" w:line="240" w:lineRule="auto"/>
              <w:jc w:val="center"/>
              <w:rPr>
                <w:rFonts w:ascii="Calibri" w:eastAsia="Times New Roman" w:hAnsi="Calibri" w:cs="Times New Roman"/>
                <w:b/>
                <w:color w:val="000000"/>
                <w:sz w:val="20"/>
                <w:szCs w:val="20"/>
                <w:lang w:eastAsia="cs-CZ"/>
              </w:rPr>
            </w:pPr>
          </w:p>
        </w:tc>
        <w:tc>
          <w:tcPr>
            <w:tcW w:w="106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F37EE2"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Podíl ZK</w:t>
            </w:r>
          </w:p>
        </w:tc>
        <w:tc>
          <w:tcPr>
            <w:tcW w:w="106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8576BF6"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Podíl OBCÍ</w:t>
            </w:r>
          </w:p>
        </w:tc>
      </w:tr>
      <w:tr w:rsidR="00475554" w14:paraId="1CA93941" w14:textId="77777777" w:rsidTr="002770CE">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444D1656" w14:textId="77777777" w:rsidR="00475554" w:rsidRDefault="00157B87">
            <w:pPr>
              <w:spacing w:before="60" w:after="60" w:line="240" w:lineRule="auto"/>
              <w:rPr>
                <w:rFonts w:ascii="Calibri" w:hAnsi="Calibri"/>
                <w:color w:val="000000"/>
                <w:sz w:val="20"/>
                <w:szCs w:val="20"/>
              </w:rPr>
            </w:pPr>
            <w:r>
              <w:rPr>
                <w:color w:val="000000"/>
                <w:sz w:val="20"/>
                <w:szCs w:val="20"/>
              </w:rPr>
              <w:t xml:space="preserve">Azylové domy </w:t>
            </w:r>
          </w:p>
        </w:tc>
        <w:tc>
          <w:tcPr>
            <w:tcW w:w="1276" w:type="dxa"/>
            <w:tcBorders>
              <w:top w:val="single" w:sz="4" w:space="0" w:color="auto"/>
              <w:left w:val="nil"/>
              <w:bottom w:val="single" w:sz="4" w:space="0" w:color="auto"/>
              <w:right w:val="single" w:sz="4" w:space="0" w:color="auto"/>
            </w:tcBorders>
            <w:vAlign w:val="center"/>
          </w:tcPr>
          <w:p w14:paraId="5C5EC8A4" w14:textId="77777777" w:rsidR="00475554" w:rsidRDefault="00157B87">
            <w:pPr>
              <w:spacing w:before="60" w:after="60" w:line="240" w:lineRule="auto"/>
              <w:rPr>
                <w:rFonts w:ascii="Calibri" w:hAnsi="Calibri"/>
                <w:color w:val="000000"/>
                <w:sz w:val="20"/>
                <w:szCs w:val="20"/>
              </w:rPr>
            </w:pPr>
            <w:r>
              <w:rPr>
                <w:color w:val="000000"/>
                <w:sz w:val="20"/>
                <w:szCs w:val="20"/>
              </w:rPr>
              <w:t>Muži a ženy bez přístřeší</w:t>
            </w:r>
          </w:p>
        </w:tc>
        <w:tc>
          <w:tcPr>
            <w:tcW w:w="1134" w:type="dxa"/>
            <w:tcBorders>
              <w:top w:val="single" w:sz="4" w:space="0" w:color="auto"/>
              <w:bottom w:val="single" w:sz="4" w:space="0" w:color="auto"/>
              <w:right w:val="single" w:sz="4" w:space="0" w:color="auto"/>
            </w:tcBorders>
            <w:vAlign w:val="center"/>
          </w:tcPr>
          <w:p w14:paraId="3B442EE5" w14:textId="77777777" w:rsidR="00475554" w:rsidRDefault="00475554">
            <w:pPr>
              <w:spacing w:before="60" w:after="60" w:line="240" w:lineRule="auto"/>
              <w:rPr>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1C7CF93" w14:textId="77777777" w:rsidR="00475554" w:rsidRDefault="00157B87">
            <w:pPr>
              <w:spacing w:before="60" w:after="60" w:line="240" w:lineRule="auto"/>
              <w:rPr>
                <w:rFonts w:ascii="Calibri" w:hAnsi="Calibri"/>
                <w:color w:val="000000"/>
                <w:sz w:val="20"/>
                <w:szCs w:val="20"/>
              </w:rPr>
            </w:pPr>
            <w:r>
              <w:rPr>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2972FFB6" w14:textId="77777777" w:rsidR="00475554" w:rsidRDefault="00157B87">
            <w:pPr>
              <w:spacing w:before="60" w:after="60" w:line="240" w:lineRule="auto"/>
              <w:jc w:val="center"/>
              <w:rPr>
                <w:color w:val="000000"/>
                <w:sz w:val="20"/>
                <w:szCs w:val="20"/>
              </w:rPr>
            </w:pPr>
            <w:r>
              <w:rPr>
                <w:rFonts w:ascii="Calibri" w:hAnsi="Calibri"/>
                <w:color w:val="000000"/>
                <w:sz w:val="20"/>
                <w:szCs w:val="20"/>
              </w:rPr>
              <w:t>5 %</w:t>
            </w:r>
          </w:p>
        </w:tc>
        <w:tc>
          <w:tcPr>
            <w:tcW w:w="1063" w:type="dxa"/>
            <w:tcBorders>
              <w:top w:val="single" w:sz="4" w:space="0" w:color="auto"/>
              <w:bottom w:val="single" w:sz="4" w:space="0" w:color="auto"/>
              <w:right w:val="single" w:sz="4" w:space="0" w:color="auto"/>
            </w:tcBorders>
            <w:vAlign w:val="center"/>
          </w:tcPr>
          <w:p w14:paraId="3BC8C3A2" w14:textId="77777777" w:rsidR="00475554" w:rsidRDefault="00157B87">
            <w:pPr>
              <w:spacing w:before="60" w:after="60" w:line="240" w:lineRule="auto"/>
              <w:jc w:val="center"/>
              <w:rPr>
                <w:color w:val="000000"/>
                <w:sz w:val="20"/>
                <w:szCs w:val="20"/>
              </w:rPr>
            </w:pPr>
            <w:r>
              <w:rPr>
                <w:rFonts w:ascii="Calibri" w:hAnsi="Calibri"/>
                <w:color w:val="000000"/>
                <w:sz w:val="20"/>
                <w:szCs w:val="20"/>
              </w:rPr>
              <w:t>1,7 %</w:t>
            </w:r>
          </w:p>
        </w:tc>
        <w:tc>
          <w:tcPr>
            <w:tcW w:w="1063" w:type="dxa"/>
            <w:tcBorders>
              <w:top w:val="single" w:sz="4" w:space="0" w:color="auto"/>
              <w:bottom w:val="single" w:sz="4" w:space="0" w:color="auto"/>
              <w:right w:val="single" w:sz="4" w:space="0" w:color="auto"/>
            </w:tcBorders>
            <w:vAlign w:val="center"/>
          </w:tcPr>
          <w:p w14:paraId="2005E184" w14:textId="77777777" w:rsidR="00475554" w:rsidRDefault="00157B87">
            <w:pPr>
              <w:spacing w:before="60" w:after="60" w:line="240" w:lineRule="auto"/>
              <w:jc w:val="center"/>
              <w:rPr>
                <w:color w:val="000000"/>
                <w:sz w:val="20"/>
                <w:szCs w:val="20"/>
              </w:rPr>
            </w:pPr>
            <w:r>
              <w:rPr>
                <w:rFonts w:ascii="Calibri" w:hAnsi="Calibri"/>
                <w:color w:val="000000"/>
                <w:sz w:val="20"/>
                <w:szCs w:val="20"/>
              </w:rPr>
              <w:t>3,3 %</w:t>
            </w:r>
          </w:p>
        </w:tc>
      </w:tr>
      <w:tr w:rsidR="00475554" w14:paraId="26965B46"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23064436" w14:textId="77777777" w:rsidR="00475554" w:rsidRDefault="00157B87">
            <w:pPr>
              <w:spacing w:before="60" w:after="60" w:line="240" w:lineRule="auto"/>
              <w:rPr>
                <w:color w:val="000000"/>
                <w:sz w:val="20"/>
                <w:szCs w:val="20"/>
              </w:rPr>
            </w:pPr>
            <w:r>
              <w:rPr>
                <w:color w:val="000000"/>
                <w:sz w:val="20"/>
                <w:szCs w:val="20"/>
              </w:rPr>
              <w:t xml:space="preserve">Azylové domy </w:t>
            </w:r>
          </w:p>
        </w:tc>
        <w:tc>
          <w:tcPr>
            <w:tcW w:w="1276" w:type="dxa"/>
            <w:tcBorders>
              <w:top w:val="single" w:sz="4" w:space="0" w:color="auto"/>
              <w:left w:val="nil"/>
              <w:bottom w:val="single" w:sz="4" w:space="0" w:color="auto"/>
              <w:right w:val="single" w:sz="4" w:space="0" w:color="auto"/>
            </w:tcBorders>
            <w:vAlign w:val="center"/>
          </w:tcPr>
          <w:p w14:paraId="42739E0A" w14:textId="77777777" w:rsidR="00475554" w:rsidRDefault="00157B87">
            <w:pPr>
              <w:spacing w:before="60" w:after="60" w:line="240" w:lineRule="auto"/>
              <w:rPr>
                <w:color w:val="000000"/>
                <w:sz w:val="20"/>
                <w:szCs w:val="20"/>
              </w:rPr>
            </w:pPr>
            <w:r>
              <w:rPr>
                <w:color w:val="000000"/>
                <w:sz w:val="20"/>
                <w:szCs w:val="20"/>
              </w:rPr>
              <w:t>Rodiny s dětmi</w:t>
            </w:r>
          </w:p>
        </w:tc>
        <w:tc>
          <w:tcPr>
            <w:tcW w:w="1134" w:type="dxa"/>
            <w:tcBorders>
              <w:top w:val="single" w:sz="4" w:space="0" w:color="auto"/>
              <w:bottom w:val="single" w:sz="4" w:space="0" w:color="auto"/>
              <w:right w:val="single" w:sz="4" w:space="0" w:color="auto"/>
            </w:tcBorders>
            <w:vAlign w:val="center"/>
          </w:tcPr>
          <w:p w14:paraId="6882B7FA" w14:textId="77777777" w:rsidR="00475554" w:rsidRDefault="00475554">
            <w:pPr>
              <w:spacing w:before="60" w:after="60" w:line="240" w:lineRule="auto"/>
              <w:rPr>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9D8E38F" w14:textId="77777777" w:rsidR="00475554" w:rsidRDefault="00157B87">
            <w:pPr>
              <w:spacing w:before="60" w:after="60" w:line="240" w:lineRule="auto"/>
              <w:rPr>
                <w:color w:val="000000"/>
                <w:sz w:val="20"/>
                <w:szCs w:val="20"/>
              </w:rPr>
            </w:pPr>
            <w:r>
              <w:rPr>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109EDAD1" w14:textId="77777777" w:rsidR="00475554" w:rsidRDefault="00157B87">
            <w:pPr>
              <w:spacing w:before="60" w:after="60" w:line="240" w:lineRule="auto"/>
              <w:jc w:val="center"/>
              <w:rPr>
                <w:color w:val="000000"/>
                <w:sz w:val="20"/>
                <w:szCs w:val="20"/>
              </w:rPr>
            </w:pPr>
            <w:r>
              <w:rPr>
                <w:rFonts w:ascii="Calibri" w:hAnsi="Calibri"/>
                <w:color w:val="000000"/>
                <w:sz w:val="20"/>
                <w:szCs w:val="20"/>
              </w:rPr>
              <w:t>9 %</w:t>
            </w:r>
          </w:p>
        </w:tc>
        <w:tc>
          <w:tcPr>
            <w:tcW w:w="1063" w:type="dxa"/>
            <w:tcBorders>
              <w:top w:val="single" w:sz="4" w:space="0" w:color="auto"/>
              <w:bottom w:val="single" w:sz="4" w:space="0" w:color="auto"/>
              <w:right w:val="single" w:sz="4" w:space="0" w:color="auto"/>
            </w:tcBorders>
            <w:vAlign w:val="center"/>
          </w:tcPr>
          <w:p w14:paraId="393D2CC3" w14:textId="77777777" w:rsidR="00475554" w:rsidRDefault="00157B87">
            <w:pPr>
              <w:spacing w:before="60" w:after="60" w:line="240" w:lineRule="auto"/>
              <w:jc w:val="center"/>
              <w:rPr>
                <w:color w:val="000000"/>
                <w:sz w:val="20"/>
                <w:szCs w:val="20"/>
              </w:rPr>
            </w:pPr>
            <w:r>
              <w:rPr>
                <w:rFonts w:ascii="Calibri" w:hAnsi="Calibri"/>
                <w:color w:val="000000"/>
                <w:sz w:val="20"/>
                <w:szCs w:val="20"/>
              </w:rPr>
              <w:t>3 %</w:t>
            </w:r>
          </w:p>
        </w:tc>
        <w:tc>
          <w:tcPr>
            <w:tcW w:w="1063" w:type="dxa"/>
            <w:tcBorders>
              <w:top w:val="single" w:sz="4" w:space="0" w:color="auto"/>
              <w:bottom w:val="single" w:sz="4" w:space="0" w:color="auto"/>
              <w:right w:val="single" w:sz="4" w:space="0" w:color="auto"/>
            </w:tcBorders>
            <w:vAlign w:val="center"/>
          </w:tcPr>
          <w:p w14:paraId="7AEB0E73" w14:textId="77777777" w:rsidR="00475554" w:rsidRDefault="00157B87">
            <w:pPr>
              <w:spacing w:before="60" w:after="60" w:line="240" w:lineRule="auto"/>
              <w:jc w:val="center"/>
              <w:rPr>
                <w:color w:val="000000"/>
                <w:sz w:val="20"/>
                <w:szCs w:val="20"/>
              </w:rPr>
            </w:pPr>
            <w:r>
              <w:rPr>
                <w:rFonts w:ascii="Calibri" w:hAnsi="Calibri"/>
                <w:color w:val="000000"/>
                <w:sz w:val="20"/>
                <w:szCs w:val="20"/>
              </w:rPr>
              <w:t>6 %</w:t>
            </w:r>
          </w:p>
        </w:tc>
      </w:tr>
      <w:tr w:rsidR="00475554" w14:paraId="15DE9CF3"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71384BE4"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Domovy pro osoby se zdravotním postižením</w:t>
            </w:r>
          </w:p>
        </w:tc>
        <w:tc>
          <w:tcPr>
            <w:tcW w:w="1276" w:type="dxa"/>
            <w:tcBorders>
              <w:top w:val="single" w:sz="4" w:space="0" w:color="auto"/>
              <w:left w:val="nil"/>
              <w:bottom w:val="single" w:sz="4" w:space="0" w:color="auto"/>
              <w:right w:val="single" w:sz="4" w:space="0" w:color="auto"/>
            </w:tcBorders>
            <w:vAlign w:val="center"/>
          </w:tcPr>
          <w:p w14:paraId="17C46444"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bottom w:val="single" w:sz="4" w:space="0" w:color="auto"/>
              <w:right w:val="single" w:sz="4" w:space="0" w:color="auto"/>
            </w:tcBorders>
            <w:vAlign w:val="center"/>
          </w:tcPr>
          <w:p w14:paraId="644730AF"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1 – 50 lůžek</w:t>
            </w:r>
          </w:p>
        </w:tc>
        <w:tc>
          <w:tcPr>
            <w:tcW w:w="1134" w:type="dxa"/>
            <w:tcBorders>
              <w:top w:val="single" w:sz="4" w:space="0" w:color="auto"/>
              <w:left w:val="single" w:sz="4" w:space="0" w:color="auto"/>
              <w:bottom w:val="single" w:sz="4" w:space="0" w:color="auto"/>
              <w:right w:val="single" w:sz="4" w:space="0" w:color="auto"/>
            </w:tcBorders>
            <w:vAlign w:val="center"/>
          </w:tcPr>
          <w:p w14:paraId="1A239B51"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630A41EC" w14:textId="77777777" w:rsidR="00475554" w:rsidRDefault="00157B87">
            <w:pPr>
              <w:spacing w:before="60" w:after="60" w:line="240" w:lineRule="auto"/>
              <w:jc w:val="center"/>
              <w:rPr>
                <w:rFonts w:ascii="Calibri" w:hAnsi="Calibri"/>
                <w:color w:val="000000"/>
                <w:sz w:val="20"/>
                <w:szCs w:val="20"/>
              </w:rPr>
            </w:pPr>
            <w:r>
              <w:rPr>
                <w:rFonts w:ascii="Calibri" w:hAnsi="Calibri"/>
                <w:color w:val="000000"/>
                <w:sz w:val="20"/>
                <w:szCs w:val="20"/>
              </w:rPr>
              <w:t>2 %</w:t>
            </w:r>
          </w:p>
        </w:tc>
        <w:tc>
          <w:tcPr>
            <w:tcW w:w="1063" w:type="dxa"/>
            <w:tcBorders>
              <w:top w:val="single" w:sz="4" w:space="0" w:color="auto"/>
              <w:bottom w:val="single" w:sz="4" w:space="0" w:color="auto"/>
              <w:right w:val="single" w:sz="4" w:space="0" w:color="auto"/>
            </w:tcBorders>
            <w:vAlign w:val="center"/>
          </w:tcPr>
          <w:p w14:paraId="1B8FF039" w14:textId="77777777" w:rsidR="00475554" w:rsidRDefault="00157B87">
            <w:pPr>
              <w:spacing w:before="60" w:after="60" w:line="240" w:lineRule="auto"/>
              <w:jc w:val="center"/>
              <w:rPr>
                <w:rFonts w:ascii="Calibri" w:hAnsi="Calibri"/>
                <w:color w:val="000000"/>
                <w:sz w:val="20"/>
                <w:szCs w:val="20"/>
              </w:rPr>
            </w:pPr>
            <w:r>
              <w:rPr>
                <w:rFonts w:ascii="Calibri" w:hAnsi="Calibri"/>
                <w:color w:val="000000"/>
                <w:sz w:val="20"/>
                <w:szCs w:val="20"/>
              </w:rPr>
              <w:t>0,7 %</w:t>
            </w:r>
          </w:p>
        </w:tc>
        <w:tc>
          <w:tcPr>
            <w:tcW w:w="1063" w:type="dxa"/>
            <w:tcBorders>
              <w:top w:val="single" w:sz="4" w:space="0" w:color="auto"/>
              <w:bottom w:val="single" w:sz="4" w:space="0" w:color="auto"/>
              <w:right w:val="single" w:sz="4" w:space="0" w:color="auto"/>
            </w:tcBorders>
            <w:vAlign w:val="center"/>
          </w:tcPr>
          <w:p w14:paraId="7BFF8D59" w14:textId="77777777" w:rsidR="00475554" w:rsidRDefault="00157B87">
            <w:pPr>
              <w:spacing w:before="60" w:after="60" w:line="240" w:lineRule="auto"/>
              <w:jc w:val="center"/>
              <w:rPr>
                <w:rFonts w:ascii="Calibri" w:hAnsi="Calibri"/>
                <w:color w:val="000000"/>
                <w:sz w:val="20"/>
                <w:szCs w:val="20"/>
              </w:rPr>
            </w:pPr>
            <w:r>
              <w:rPr>
                <w:rFonts w:ascii="Calibri" w:hAnsi="Calibri"/>
                <w:color w:val="000000"/>
                <w:sz w:val="20"/>
                <w:szCs w:val="20"/>
              </w:rPr>
              <w:t>1,3 %</w:t>
            </w:r>
          </w:p>
        </w:tc>
      </w:tr>
      <w:tr w:rsidR="00475554" w14:paraId="14D3A93F"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1837D572"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Domovy pro osoby se zdravotním postižením</w:t>
            </w:r>
          </w:p>
        </w:tc>
        <w:tc>
          <w:tcPr>
            <w:tcW w:w="1276" w:type="dxa"/>
            <w:tcBorders>
              <w:top w:val="single" w:sz="4" w:space="0" w:color="auto"/>
              <w:left w:val="nil"/>
              <w:bottom w:val="single" w:sz="4" w:space="0" w:color="auto"/>
              <w:right w:val="single" w:sz="4" w:space="0" w:color="auto"/>
            </w:tcBorders>
            <w:vAlign w:val="center"/>
          </w:tcPr>
          <w:p w14:paraId="31042E9D"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bottom w:val="single" w:sz="4" w:space="0" w:color="auto"/>
              <w:right w:val="single" w:sz="4" w:space="0" w:color="auto"/>
            </w:tcBorders>
            <w:vAlign w:val="center"/>
          </w:tcPr>
          <w:p w14:paraId="087CF95B"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51 a více lůžek</w:t>
            </w:r>
          </w:p>
        </w:tc>
        <w:tc>
          <w:tcPr>
            <w:tcW w:w="1134" w:type="dxa"/>
            <w:tcBorders>
              <w:top w:val="single" w:sz="4" w:space="0" w:color="auto"/>
              <w:left w:val="single" w:sz="4" w:space="0" w:color="auto"/>
              <w:bottom w:val="single" w:sz="4" w:space="0" w:color="auto"/>
              <w:right w:val="single" w:sz="4" w:space="0" w:color="auto"/>
            </w:tcBorders>
            <w:vAlign w:val="center"/>
          </w:tcPr>
          <w:p w14:paraId="3D76D400"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12AFE9D5"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1 %</w:t>
            </w:r>
          </w:p>
        </w:tc>
        <w:tc>
          <w:tcPr>
            <w:tcW w:w="1063" w:type="dxa"/>
            <w:tcBorders>
              <w:top w:val="single" w:sz="4" w:space="0" w:color="auto"/>
              <w:bottom w:val="single" w:sz="4" w:space="0" w:color="auto"/>
              <w:right w:val="single" w:sz="4" w:space="0" w:color="auto"/>
            </w:tcBorders>
            <w:vAlign w:val="center"/>
          </w:tcPr>
          <w:p w14:paraId="01AA3E17"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0,3 %</w:t>
            </w:r>
          </w:p>
        </w:tc>
        <w:tc>
          <w:tcPr>
            <w:tcW w:w="1063" w:type="dxa"/>
            <w:tcBorders>
              <w:top w:val="single" w:sz="4" w:space="0" w:color="auto"/>
              <w:bottom w:val="single" w:sz="4" w:space="0" w:color="auto"/>
              <w:right w:val="single" w:sz="4" w:space="0" w:color="auto"/>
            </w:tcBorders>
            <w:vAlign w:val="center"/>
          </w:tcPr>
          <w:p w14:paraId="7B1CA42F"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0,7 %</w:t>
            </w:r>
          </w:p>
        </w:tc>
      </w:tr>
      <w:tr w:rsidR="00475554" w14:paraId="6489F895"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171092CE"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Domovy pro seniory</w:t>
            </w:r>
          </w:p>
        </w:tc>
        <w:tc>
          <w:tcPr>
            <w:tcW w:w="1276" w:type="dxa"/>
            <w:tcBorders>
              <w:top w:val="single" w:sz="4" w:space="0" w:color="auto"/>
              <w:left w:val="nil"/>
              <w:bottom w:val="single" w:sz="4" w:space="0" w:color="auto"/>
              <w:right w:val="single" w:sz="4" w:space="0" w:color="auto"/>
            </w:tcBorders>
            <w:vAlign w:val="center"/>
          </w:tcPr>
          <w:p w14:paraId="71DCB629"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bottom w:val="single" w:sz="4" w:space="0" w:color="auto"/>
              <w:right w:val="single" w:sz="4" w:space="0" w:color="auto"/>
            </w:tcBorders>
            <w:vAlign w:val="center"/>
          </w:tcPr>
          <w:p w14:paraId="3B452E1E"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1 – 100 lůžek</w:t>
            </w:r>
          </w:p>
        </w:tc>
        <w:tc>
          <w:tcPr>
            <w:tcW w:w="1134" w:type="dxa"/>
            <w:tcBorders>
              <w:top w:val="single" w:sz="4" w:space="0" w:color="auto"/>
              <w:left w:val="single" w:sz="4" w:space="0" w:color="auto"/>
              <w:bottom w:val="single" w:sz="4" w:space="0" w:color="auto"/>
              <w:right w:val="single" w:sz="4" w:space="0" w:color="auto"/>
            </w:tcBorders>
            <w:vAlign w:val="center"/>
          </w:tcPr>
          <w:p w14:paraId="68070C0A"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7165BEFC"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5 %</w:t>
            </w:r>
          </w:p>
        </w:tc>
        <w:tc>
          <w:tcPr>
            <w:tcW w:w="1063" w:type="dxa"/>
            <w:tcBorders>
              <w:top w:val="single" w:sz="4" w:space="0" w:color="auto"/>
              <w:bottom w:val="single" w:sz="4" w:space="0" w:color="auto"/>
              <w:right w:val="single" w:sz="4" w:space="0" w:color="auto"/>
            </w:tcBorders>
            <w:vAlign w:val="center"/>
          </w:tcPr>
          <w:p w14:paraId="675CC434"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1,7 %</w:t>
            </w:r>
          </w:p>
        </w:tc>
        <w:tc>
          <w:tcPr>
            <w:tcW w:w="1063" w:type="dxa"/>
            <w:tcBorders>
              <w:top w:val="single" w:sz="4" w:space="0" w:color="auto"/>
              <w:bottom w:val="single" w:sz="4" w:space="0" w:color="auto"/>
              <w:right w:val="single" w:sz="4" w:space="0" w:color="auto"/>
            </w:tcBorders>
            <w:vAlign w:val="center"/>
          </w:tcPr>
          <w:p w14:paraId="6CDFE611"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3,3 %</w:t>
            </w:r>
          </w:p>
        </w:tc>
      </w:tr>
      <w:tr w:rsidR="00475554" w14:paraId="2E375C9C"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1C12673D"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Domovy pro seniory</w:t>
            </w:r>
          </w:p>
        </w:tc>
        <w:tc>
          <w:tcPr>
            <w:tcW w:w="1276" w:type="dxa"/>
            <w:tcBorders>
              <w:top w:val="single" w:sz="4" w:space="0" w:color="auto"/>
              <w:left w:val="nil"/>
              <w:bottom w:val="single" w:sz="4" w:space="0" w:color="auto"/>
              <w:right w:val="single" w:sz="4" w:space="0" w:color="auto"/>
            </w:tcBorders>
            <w:vAlign w:val="center"/>
          </w:tcPr>
          <w:p w14:paraId="090F5359"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bottom w:val="single" w:sz="4" w:space="0" w:color="auto"/>
              <w:right w:val="single" w:sz="4" w:space="0" w:color="auto"/>
            </w:tcBorders>
            <w:vAlign w:val="center"/>
          </w:tcPr>
          <w:p w14:paraId="2BFD3C0C"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101 a více lůžek</w:t>
            </w:r>
          </w:p>
        </w:tc>
        <w:tc>
          <w:tcPr>
            <w:tcW w:w="1134" w:type="dxa"/>
            <w:tcBorders>
              <w:top w:val="single" w:sz="4" w:space="0" w:color="auto"/>
              <w:left w:val="single" w:sz="4" w:space="0" w:color="auto"/>
              <w:bottom w:val="single" w:sz="4" w:space="0" w:color="auto"/>
              <w:right w:val="single" w:sz="4" w:space="0" w:color="auto"/>
            </w:tcBorders>
            <w:vAlign w:val="center"/>
          </w:tcPr>
          <w:p w14:paraId="2CF57379"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5F5BBE00"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3 %</w:t>
            </w:r>
          </w:p>
        </w:tc>
        <w:tc>
          <w:tcPr>
            <w:tcW w:w="1063" w:type="dxa"/>
            <w:tcBorders>
              <w:top w:val="single" w:sz="4" w:space="0" w:color="auto"/>
              <w:bottom w:val="single" w:sz="4" w:space="0" w:color="auto"/>
              <w:right w:val="single" w:sz="4" w:space="0" w:color="auto"/>
            </w:tcBorders>
            <w:vAlign w:val="center"/>
          </w:tcPr>
          <w:p w14:paraId="5D94E60E"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1 %</w:t>
            </w:r>
          </w:p>
        </w:tc>
        <w:tc>
          <w:tcPr>
            <w:tcW w:w="1063" w:type="dxa"/>
            <w:tcBorders>
              <w:top w:val="single" w:sz="4" w:space="0" w:color="auto"/>
              <w:bottom w:val="single" w:sz="4" w:space="0" w:color="auto"/>
              <w:right w:val="single" w:sz="4" w:space="0" w:color="auto"/>
            </w:tcBorders>
            <w:vAlign w:val="center"/>
          </w:tcPr>
          <w:p w14:paraId="344AA20B"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2 %</w:t>
            </w:r>
          </w:p>
        </w:tc>
      </w:tr>
      <w:tr w:rsidR="00475554" w14:paraId="5D7A0A87" w14:textId="77777777" w:rsidTr="440ABA4D">
        <w:trPr>
          <w:cantSplit/>
          <w:trHeight w:val="454"/>
        </w:trPr>
        <w:tc>
          <w:tcPr>
            <w:tcW w:w="2410" w:type="dxa"/>
            <w:tcBorders>
              <w:left w:val="single" w:sz="4" w:space="0" w:color="auto"/>
              <w:bottom w:val="single" w:sz="4" w:space="0" w:color="auto"/>
              <w:right w:val="single" w:sz="4" w:space="0" w:color="auto"/>
            </w:tcBorders>
            <w:noWrap/>
            <w:vAlign w:val="center"/>
          </w:tcPr>
          <w:p w14:paraId="1CE893A2"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lastRenderedPageBreak/>
              <w:t>Domovy se zvláštním režimem</w:t>
            </w:r>
          </w:p>
        </w:tc>
        <w:tc>
          <w:tcPr>
            <w:tcW w:w="1276" w:type="dxa"/>
            <w:tcBorders>
              <w:top w:val="single" w:sz="4" w:space="0" w:color="auto"/>
              <w:left w:val="nil"/>
              <w:bottom w:val="single" w:sz="4" w:space="0" w:color="auto"/>
              <w:right w:val="single" w:sz="4" w:space="0" w:color="auto"/>
            </w:tcBorders>
            <w:vAlign w:val="center"/>
          </w:tcPr>
          <w:p w14:paraId="217461DB"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 xml:space="preserve">Osoby s </w:t>
            </w:r>
            <w:r>
              <w:rPr>
                <w:rFonts w:ascii="Calibri" w:hAnsi="Calibri"/>
                <w:color w:val="000000"/>
                <w:spacing w:val="-8"/>
                <w:sz w:val="20"/>
                <w:szCs w:val="20"/>
              </w:rPr>
              <w:t>Alzheimerovou</w:t>
            </w:r>
            <w:r>
              <w:rPr>
                <w:rFonts w:ascii="Calibri" w:hAnsi="Calibri"/>
                <w:color w:val="000000"/>
                <w:sz w:val="20"/>
                <w:szCs w:val="20"/>
              </w:rPr>
              <w:t xml:space="preserve"> chorobou a jinými typy demencí</w:t>
            </w:r>
          </w:p>
        </w:tc>
        <w:tc>
          <w:tcPr>
            <w:tcW w:w="1134" w:type="dxa"/>
            <w:tcBorders>
              <w:bottom w:val="single" w:sz="4" w:space="0" w:color="auto"/>
              <w:right w:val="single" w:sz="4" w:space="0" w:color="auto"/>
            </w:tcBorders>
            <w:vAlign w:val="center"/>
          </w:tcPr>
          <w:p w14:paraId="08DAC449" w14:textId="5455ED9C" w:rsidR="00475554" w:rsidRDefault="00475554">
            <w:pPr>
              <w:spacing w:before="60" w:after="60" w:line="240" w:lineRule="auto"/>
              <w:rPr>
                <w:rFonts w:ascii="Calibri" w:hAnsi="Calibri"/>
                <w:color w:val="000000"/>
                <w:sz w:val="20"/>
                <w:szCs w:val="20"/>
              </w:rPr>
            </w:pPr>
          </w:p>
        </w:tc>
        <w:tc>
          <w:tcPr>
            <w:tcW w:w="1134" w:type="dxa"/>
            <w:tcBorders>
              <w:left w:val="single" w:sz="4" w:space="0" w:color="auto"/>
              <w:bottom w:val="single" w:sz="4" w:space="0" w:color="auto"/>
              <w:right w:val="single" w:sz="4" w:space="0" w:color="auto"/>
            </w:tcBorders>
            <w:vAlign w:val="center"/>
          </w:tcPr>
          <w:p w14:paraId="4BA8E110"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Lůžko</w:t>
            </w:r>
          </w:p>
        </w:tc>
        <w:tc>
          <w:tcPr>
            <w:tcW w:w="992" w:type="dxa"/>
            <w:tcBorders>
              <w:bottom w:val="single" w:sz="4" w:space="0" w:color="auto"/>
              <w:right w:val="single" w:sz="4" w:space="0" w:color="auto"/>
            </w:tcBorders>
            <w:vAlign w:val="center"/>
          </w:tcPr>
          <w:p w14:paraId="28CEF3A9"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3 %</w:t>
            </w:r>
          </w:p>
        </w:tc>
        <w:tc>
          <w:tcPr>
            <w:tcW w:w="1063" w:type="dxa"/>
            <w:tcBorders>
              <w:bottom w:val="single" w:sz="4" w:space="0" w:color="auto"/>
              <w:right w:val="single" w:sz="4" w:space="0" w:color="auto"/>
            </w:tcBorders>
            <w:vAlign w:val="center"/>
          </w:tcPr>
          <w:p w14:paraId="266673DC"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1 %</w:t>
            </w:r>
          </w:p>
        </w:tc>
        <w:tc>
          <w:tcPr>
            <w:tcW w:w="1063" w:type="dxa"/>
            <w:tcBorders>
              <w:bottom w:val="single" w:sz="4" w:space="0" w:color="auto"/>
              <w:right w:val="single" w:sz="4" w:space="0" w:color="auto"/>
            </w:tcBorders>
            <w:vAlign w:val="center"/>
          </w:tcPr>
          <w:p w14:paraId="4377941E"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2 %</w:t>
            </w:r>
          </w:p>
        </w:tc>
      </w:tr>
      <w:tr w:rsidR="00475554" w14:paraId="6AD85754"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2C56CDA4"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Domovy se zvláštním režimem</w:t>
            </w:r>
          </w:p>
        </w:tc>
        <w:tc>
          <w:tcPr>
            <w:tcW w:w="1276" w:type="dxa"/>
            <w:tcBorders>
              <w:top w:val="single" w:sz="4" w:space="0" w:color="auto"/>
              <w:left w:val="nil"/>
              <w:bottom w:val="single" w:sz="4" w:space="0" w:color="auto"/>
              <w:right w:val="single" w:sz="4" w:space="0" w:color="auto"/>
            </w:tcBorders>
            <w:vAlign w:val="center"/>
          </w:tcPr>
          <w:p w14:paraId="191BD63C" w14:textId="005437FF" w:rsidR="00475554" w:rsidRDefault="002B58E3">
            <w:pPr>
              <w:spacing w:before="60" w:after="60" w:line="240" w:lineRule="auto"/>
              <w:rPr>
                <w:rFonts w:ascii="Calibri" w:hAnsi="Calibri"/>
                <w:color w:val="000000"/>
                <w:sz w:val="20"/>
                <w:szCs w:val="20"/>
              </w:rPr>
            </w:pPr>
            <w:r w:rsidRPr="002B58E3">
              <w:rPr>
                <w:rFonts w:ascii="Calibri" w:hAnsi="Calibri"/>
                <w:color w:val="000000"/>
                <w:sz w:val="20"/>
                <w:szCs w:val="20"/>
              </w:rPr>
              <w:t>Osoby s duševním onemocněním, Osoby s chováním náročným na péči</w:t>
            </w:r>
          </w:p>
        </w:tc>
        <w:tc>
          <w:tcPr>
            <w:tcW w:w="1134" w:type="dxa"/>
            <w:tcBorders>
              <w:top w:val="single" w:sz="4" w:space="0" w:color="auto"/>
              <w:bottom w:val="single" w:sz="4" w:space="0" w:color="auto"/>
              <w:right w:val="single" w:sz="4" w:space="0" w:color="auto"/>
            </w:tcBorders>
            <w:vAlign w:val="center"/>
          </w:tcPr>
          <w:p w14:paraId="5BF6847A"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B451D81"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4589A7E4"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4 %</w:t>
            </w:r>
          </w:p>
        </w:tc>
        <w:tc>
          <w:tcPr>
            <w:tcW w:w="1063" w:type="dxa"/>
            <w:tcBorders>
              <w:top w:val="single" w:sz="4" w:space="0" w:color="auto"/>
              <w:bottom w:val="single" w:sz="4" w:space="0" w:color="auto"/>
              <w:right w:val="single" w:sz="4" w:space="0" w:color="auto"/>
            </w:tcBorders>
            <w:vAlign w:val="center"/>
          </w:tcPr>
          <w:p w14:paraId="4CFAC15A"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1,3 %</w:t>
            </w:r>
          </w:p>
        </w:tc>
        <w:tc>
          <w:tcPr>
            <w:tcW w:w="1063" w:type="dxa"/>
            <w:tcBorders>
              <w:top w:val="single" w:sz="4" w:space="0" w:color="auto"/>
              <w:bottom w:val="single" w:sz="4" w:space="0" w:color="auto"/>
              <w:right w:val="single" w:sz="4" w:space="0" w:color="auto"/>
            </w:tcBorders>
            <w:vAlign w:val="center"/>
          </w:tcPr>
          <w:p w14:paraId="4AD86646"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2,7 %</w:t>
            </w:r>
          </w:p>
        </w:tc>
      </w:tr>
      <w:tr w:rsidR="00475554" w14:paraId="1215964C"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089B31CC"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Domovy se zvláštním režimem</w:t>
            </w:r>
          </w:p>
        </w:tc>
        <w:tc>
          <w:tcPr>
            <w:tcW w:w="1276" w:type="dxa"/>
            <w:tcBorders>
              <w:top w:val="single" w:sz="4" w:space="0" w:color="auto"/>
              <w:left w:val="nil"/>
              <w:bottom w:val="single" w:sz="4" w:space="0" w:color="auto"/>
              <w:right w:val="single" w:sz="4" w:space="0" w:color="auto"/>
            </w:tcBorders>
            <w:vAlign w:val="center"/>
          </w:tcPr>
          <w:p w14:paraId="44D21163"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Osoby ohrožené sociálním vyloučením</w:t>
            </w:r>
          </w:p>
        </w:tc>
        <w:tc>
          <w:tcPr>
            <w:tcW w:w="1134" w:type="dxa"/>
            <w:tcBorders>
              <w:top w:val="single" w:sz="4" w:space="0" w:color="auto"/>
              <w:bottom w:val="single" w:sz="4" w:space="0" w:color="auto"/>
              <w:right w:val="single" w:sz="4" w:space="0" w:color="auto"/>
            </w:tcBorders>
            <w:vAlign w:val="center"/>
          </w:tcPr>
          <w:p w14:paraId="49F1D83C"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E014465"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71A9C548" w14:textId="77777777" w:rsidR="00475554" w:rsidRDefault="00157B87">
            <w:pPr>
              <w:spacing w:before="60" w:after="60" w:line="240" w:lineRule="auto"/>
              <w:jc w:val="center"/>
              <w:rPr>
                <w:rFonts w:ascii="Calibri" w:eastAsiaTheme="minorHAnsi" w:hAnsi="Calibri"/>
                <w:color w:val="000000"/>
                <w:sz w:val="20"/>
                <w:szCs w:val="20"/>
              </w:rPr>
            </w:pPr>
            <w:r>
              <w:rPr>
                <w:rFonts w:ascii="Calibri" w:eastAsiaTheme="minorHAnsi" w:hAnsi="Calibri"/>
                <w:color w:val="000000"/>
                <w:sz w:val="20"/>
                <w:szCs w:val="20"/>
              </w:rPr>
              <w:t>3 %</w:t>
            </w:r>
          </w:p>
        </w:tc>
        <w:tc>
          <w:tcPr>
            <w:tcW w:w="1063" w:type="dxa"/>
            <w:tcBorders>
              <w:top w:val="single" w:sz="4" w:space="0" w:color="auto"/>
              <w:bottom w:val="single" w:sz="4" w:space="0" w:color="auto"/>
              <w:right w:val="single" w:sz="4" w:space="0" w:color="auto"/>
            </w:tcBorders>
            <w:vAlign w:val="center"/>
          </w:tcPr>
          <w:p w14:paraId="19025F42" w14:textId="77777777" w:rsidR="00475554" w:rsidRDefault="00157B87">
            <w:pPr>
              <w:spacing w:before="60" w:after="60" w:line="240" w:lineRule="auto"/>
              <w:jc w:val="center"/>
              <w:rPr>
                <w:rFonts w:ascii="Calibri" w:eastAsiaTheme="minorHAnsi" w:hAnsi="Calibri"/>
                <w:color w:val="000000"/>
                <w:sz w:val="20"/>
                <w:szCs w:val="20"/>
              </w:rPr>
            </w:pPr>
            <w:r>
              <w:rPr>
                <w:rFonts w:ascii="Calibri" w:eastAsiaTheme="minorHAnsi" w:hAnsi="Calibri"/>
                <w:color w:val="000000"/>
                <w:sz w:val="20"/>
                <w:szCs w:val="20"/>
              </w:rPr>
              <w:t>1 %</w:t>
            </w:r>
          </w:p>
        </w:tc>
        <w:tc>
          <w:tcPr>
            <w:tcW w:w="1063" w:type="dxa"/>
            <w:tcBorders>
              <w:top w:val="single" w:sz="4" w:space="0" w:color="auto"/>
              <w:bottom w:val="single" w:sz="4" w:space="0" w:color="auto"/>
              <w:right w:val="single" w:sz="4" w:space="0" w:color="auto"/>
            </w:tcBorders>
            <w:vAlign w:val="center"/>
          </w:tcPr>
          <w:p w14:paraId="0B0D2372" w14:textId="77777777" w:rsidR="00475554" w:rsidRDefault="00157B87">
            <w:pPr>
              <w:spacing w:before="60" w:after="60" w:line="240" w:lineRule="auto"/>
              <w:jc w:val="center"/>
              <w:rPr>
                <w:rFonts w:ascii="Calibri" w:eastAsiaTheme="minorHAnsi" w:hAnsi="Calibri"/>
                <w:color w:val="000000"/>
                <w:sz w:val="20"/>
                <w:szCs w:val="20"/>
              </w:rPr>
            </w:pPr>
            <w:r>
              <w:rPr>
                <w:rFonts w:ascii="Calibri" w:eastAsiaTheme="minorHAnsi" w:hAnsi="Calibri"/>
                <w:color w:val="000000"/>
                <w:sz w:val="20"/>
                <w:szCs w:val="20"/>
              </w:rPr>
              <w:t>2 %</w:t>
            </w:r>
          </w:p>
        </w:tc>
      </w:tr>
      <w:tr w:rsidR="00475554" w14:paraId="7ED598C5"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613398D4"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Domovy se zvláštním režimem</w:t>
            </w:r>
          </w:p>
        </w:tc>
        <w:tc>
          <w:tcPr>
            <w:tcW w:w="1276" w:type="dxa"/>
            <w:tcBorders>
              <w:top w:val="single" w:sz="4" w:space="0" w:color="auto"/>
              <w:left w:val="nil"/>
              <w:bottom w:val="single" w:sz="4" w:space="0" w:color="auto"/>
              <w:right w:val="single" w:sz="4" w:space="0" w:color="auto"/>
            </w:tcBorders>
            <w:vAlign w:val="center"/>
          </w:tcPr>
          <w:p w14:paraId="137AF833" w14:textId="77777777" w:rsidR="00475554" w:rsidRDefault="00157B87">
            <w:pPr>
              <w:spacing w:before="60" w:after="60" w:line="240" w:lineRule="auto"/>
              <w:rPr>
                <w:rFonts w:ascii="Calibri" w:hAnsi="Calibri"/>
                <w:color w:val="000000"/>
                <w:sz w:val="20"/>
                <w:szCs w:val="20"/>
              </w:rPr>
            </w:pPr>
            <w:r>
              <w:rPr>
                <w:rFonts w:ascii="Calibri" w:hAnsi="Calibri" w:cs="Calibri"/>
                <w:sz w:val="20"/>
                <w:szCs w:val="20"/>
              </w:rPr>
              <w:t xml:space="preserve">Osoby s chronickým duševním </w:t>
            </w:r>
            <w:r>
              <w:rPr>
                <w:rFonts w:ascii="Calibri" w:hAnsi="Calibri" w:cs="Calibri"/>
                <w:spacing w:val="-4"/>
                <w:sz w:val="20"/>
                <w:szCs w:val="20"/>
              </w:rPr>
              <w:t>onemocněním</w:t>
            </w:r>
            <w:r>
              <w:rPr>
                <w:rFonts w:ascii="Calibri" w:hAnsi="Calibri" w:cs="Calibri"/>
                <w:sz w:val="20"/>
                <w:szCs w:val="20"/>
              </w:rPr>
              <w:t xml:space="preserve"> vyvolaným účinkem alkoholu</w:t>
            </w:r>
          </w:p>
        </w:tc>
        <w:tc>
          <w:tcPr>
            <w:tcW w:w="1134" w:type="dxa"/>
            <w:tcBorders>
              <w:top w:val="single" w:sz="4" w:space="0" w:color="auto"/>
              <w:bottom w:val="single" w:sz="4" w:space="0" w:color="auto"/>
              <w:right w:val="single" w:sz="4" w:space="0" w:color="auto"/>
            </w:tcBorders>
            <w:vAlign w:val="center"/>
          </w:tcPr>
          <w:p w14:paraId="6F9087AE"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6B1FF2C"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4596F042"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3 %</w:t>
            </w:r>
          </w:p>
        </w:tc>
        <w:tc>
          <w:tcPr>
            <w:tcW w:w="1063" w:type="dxa"/>
            <w:tcBorders>
              <w:top w:val="single" w:sz="4" w:space="0" w:color="auto"/>
              <w:bottom w:val="single" w:sz="4" w:space="0" w:color="auto"/>
              <w:right w:val="single" w:sz="4" w:space="0" w:color="auto"/>
            </w:tcBorders>
            <w:vAlign w:val="center"/>
          </w:tcPr>
          <w:p w14:paraId="4A8BF36F"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1 %</w:t>
            </w:r>
          </w:p>
        </w:tc>
        <w:tc>
          <w:tcPr>
            <w:tcW w:w="1063" w:type="dxa"/>
            <w:tcBorders>
              <w:top w:val="single" w:sz="4" w:space="0" w:color="auto"/>
              <w:bottom w:val="single" w:sz="4" w:space="0" w:color="auto"/>
              <w:right w:val="single" w:sz="4" w:space="0" w:color="auto"/>
            </w:tcBorders>
            <w:vAlign w:val="center"/>
          </w:tcPr>
          <w:p w14:paraId="7606D2E5"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2 %</w:t>
            </w:r>
          </w:p>
        </w:tc>
      </w:tr>
      <w:tr w:rsidR="00475554" w14:paraId="623EBAE9"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6352A7E3" w14:textId="77777777" w:rsidR="00475554" w:rsidRDefault="00157B87">
            <w:pPr>
              <w:spacing w:before="60" w:after="60" w:line="240" w:lineRule="auto"/>
              <w:rPr>
                <w:rFonts w:ascii="Calibri" w:hAnsi="Calibri"/>
                <w:color w:val="000000"/>
                <w:sz w:val="20"/>
                <w:szCs w:val="20"/>
              </w:rPr>
            </w:pPr>
            <w:r>
              <w:rPr>
                <w:color w:val="000000"/>
                <w:sz w:val="20"/>
                <w:szCs w:val="20"/>
              </w:rPr>
              <w:t>Domy na půl cesty</w:t>
            </w:r>
          </w:p>
        </w:tc>
        <w:tc>
          <w:tcPr>
            <w:tcW w:w="1276" w:type="dxa"/>
            <w:tcBorders>
              <w:top w:val="single" w:sz="4" w:space="0" w:color="auto"/>
              <w:left w:val="nil"/>
              <w:bottom w:val="single" w:sz="4" w:space="0" w:color="auto"/>
              <w:right w:val="single" w:sz="4" w:space="0" w:color="auto"/>
            </w:tcBorders>
            <w:vAlign w:val="center"/>
          </w:tcPr>
          <w:p w14:paraId="74FFA613"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bottom w:val="single" w:sz="4" w:space="0" w:color="auto"/>
              <w:right w:val="single" w:sz="4" w:space="0" w:color="auto"/>
            </w:tcBorders>
            <w:vAlign w:val="center"/>
          </w:tcPr>
          <w:p w14:paraId="0E93155A" w14:textId="77777777" w:rsidR="00475554" w:rsidRDefault="00475554">
            <w:pPr>
              <w:spacing w:before="60" w:after="60" w:line="240" w:lineRule="auto"/>
              <w:rPr>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BA6C748" w14:textId="77777777" w:rsidR="00475554" w:rsidRDefault="00157B87">
            <w:pPr>
              <w:spacing w:before="60" w:after="60" w:line="240" w:lineRule="auto"/>
              <w:rPr>
                <w:rFonts w:ascii="Calibri" w:hAnsi="Calibri"/>
                <w:color w:val="000000"/>
                <w:sz w:val="20"/>
                <w:szCs w:val="20"/>
              </w:rPr>
            </w:pPr>
            <w:r>
              <w:rPr>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0837E7BB" w14:textId="77777777" w:rsidR="00475554" w:rsidRDefault="00157B87">
            <w:pPr>
              <w:spacing w:before="60" w:after="60" w:line="240" w:lineRule="auto"/>
              <w:jc w:val="center"/>
              <w:rPr>
                <w:color w:val="000000"/>
                <w:sz w:val="20"/>
                <w:szCs w:val="20"/>
              </w:rPr>
            </w:pPr>
            <w:r>
              <w:rPr>
                <w:rFonts w:ascii="Calibri" w:hAnsi="Calibri"/>
                <w:color w:val="000000"/>
                <w:sz w:val="20"/>
                <w:szCs w:val="20"/>
              </w:rPr>
              <w:t>6 %</w:t>
            </w:r>
          </w:p>
        </w:tc>
        <w:tc>
          <w:tcPr>
            <w:tcW w:w="1063" w:type="dxa"/>
            <w:tcBorders>
              <w:top w:val="single" w:sz="4" w:space="0" w:color="auto"/>
              <w:bottom w:val="single" w:sz="4" w:space="0" w:color="auto"/>
              <w:right w:val="single" w:sz="4" w:space="0" w:color="auto"/>
            </w:tcBorders>
            <w:vAlign w:val="center"/>
          </w:tcPr>
          <w:p w14:paraId="63C1AADA" w14:textId="77777777" w:rsidR="00475554" w:rsidRDefault="00157B87">
            <w:pPr>
              <w:spacing w:before="60" w:after="60" w:line="240" w:lineRule="auto"/>
              <w:jc w:val="center"/>
              <w:rPr>
                <w:color w:val="000000"/>
                <w:sz w:val="20"/>
                <w:szCs w:val="20"/>
              </w:rPr>
            </w:pPr>
            <w:r>
              <w:rPr>
                <w:rFonts w:ascii="Calibri" w:hAnsi="Calibri"/>
                <w:color w:val="000000"/>
                <w:sz w:val="20"/>
                <w:szCs w:val="20"/>
              </w:rPr>
              <w:t>2 %</w:t>
            </w:r>
          </w:p>
        </w:tc>
        <w:tc>
          <w:tcPr>
            <w:tcW w:w="1063" w:type="dxa"/>
            <w:tcBorders>
              <w:top w:val="single" w:sz="4" w:space="0" w:color="auto"/>
              <w:bottom w:val="single" w:sz="4" w:space="0" w:color="auto"/>
              <w:right w:val="single" w:sz="4" w:space="0" w:color="auto"/>
            </w:tcBorders>
            <w:vAlign w:val="center"/>
          </w:tcPr>
          <w:p w14:paraId="17C456B2" w14:textId="77777777" w:rsidR="00475554" w:rsidRDefault="00157B87">
            <w:pPr>
              <w:spacing w:before="60" w:after="60" w:line="240" w:lineRule="auto"/>
              <w:jc w:val="center"/>
              <w:rPr>
                <w:color w:val="000000"/>
                <w:sz w:val="20"/>
                <w:szCs w:val="20"/>
              </w:rPr>
            </w:pPr>
            <w:r>
              <w:rPr>
                <w:rFonts w:ascii="Calibri" w:hAnsi="Calibri"/>
                <w:color w:val="000000"/>
                <w:sz w:val="20"/>
                <w:szCs w:val="20"/>
              </w:rPr>
              <w:t>4 %</w:t>
            </w:r>
          </w:p>
        </w:tc>
      </w:tr>
      <w:tr w:rsidR="00475554" w14:paraId="6EB74B6E"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1B956B17"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Chráněné bydlení</w:t>
            </w:r>
          </w:p>
        </w:tc>
        <w:tc>
          <w:tcPr>
            <w:tcW w:w="1276" w:type="dxa"/>
            <w:tcBorders>
              <w:top w:val="single" w:sz="4" w:space="0" w:color="auto"/>
              <w:left w:val="nil"/>
              <w:bottom w:val="single" w:sz="4" w:space="0" w:color="auto"/>
              <w:right w:val="single" w:sz="4" w:space="0" w:color="auto"/>
            </w:tcBorders>
            <w:vAlign w:val="center"/>
          </w:tcPr>
          <w:p w14:paraId="4E3A2127"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bottom w:val="single" w:sz="4" w:space="0" w:color="auto"/>
              <w:right w:val="single" w:sz="4" w:space="0" w:color="auto"/>
            </w:tcBorders>
            <w:vAlign w:val="center"/>
          </w:tcPr>
          <w:p w14:paraId="2716C02B"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ED6F3C9"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07532869"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6 %</w:t>
            </w:r>
          </w:p>
        </w:tc>
        <w:tc>
          <w:tcPr>
            <w:tcW w:w="1063" w:type="dxa"/>
            <w:tcBorders>
              <w:top w:val="single" w:sz="4" w:space="0" w:color="auto"/>
              <w:bottom w:val="single" w:sz="4" w:space="0" w:color="auto"/>
              <w:right w:val="single" w:sz="4" w:space="0" w:color="auto"/>
            </w:tcBorders>
            <w:vAlign w:val="center"/>
          </w:tcPr>
          <w:p w14:paraId="1C41F513"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2 %</w:t>
            </w:r>
          </w:p>
        </w:tc>
        <w:tc>
          <w:tcPr>
            <w:tcW w:w="1063" w:type="dxa"/>
            <w:tcBorders>
              <w:top w:val="single" w:sz="4" w:space="0" w:color="auto"/>
              <w:bottom w:val="single" w:sz="4" w:space="0" w:color="auto"/>
              <w:right w:val="single" w:sz="4" w:space="0" w:color="auto"/>
            </w:tcBorders>
            <w:vAlign w:val="center"/>
          </w:tcPr>
          <w:p w14:paraId="2963A4D5"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4 %</w:t>
            </w:r>
          </w:p>
        </w:tc>
      </w:tr>
      <w:tr w:rsidR="00475554" w14:paraId="377629B1"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222A8764" w14:textId="77777777" w:rsidR="00475554" w:rsidRDefault="00157B87">
            <w:pPr>
              <w:spacing w:before="60" w:after="60" w:line="240" w:lineRule="auto"/>
              <w:rPr>
                <w:rFonts w:ascii="Calibri" w:hAnsi="Calibri"/>
                <w:color w:val="000000"/>
                <w:sz w:val="20"/>
                <w:szCs w:val="20"/>
              </w:rPr>
            </w:pPr>
            <w:r>
              <w:rPr>
                <w:color w:val="000000"/>
                <w:sz w:val="20"/>
                <w:szCs w:val="20"/>
              </w:rPr>
              <w:t>Intervenční centra*</w:t>
            </w:r>
          </w:p>
        </w:tc>
        <w:tc>
          <w:tcPr>
            <w:tcW w:w="1276" w:type="dxa"/>
            <w:tcBorders>
              <w:top w:val="single" w:sz="4" w:space="0" w:color="auto"/>
              <w:left w:val="nil"/>
              <w:bottom w:val="single" w:sz="4" w:space="0" w:color="auto"/>
              <w:right w:val="single" w:sz="4" w:space="0" w:color="auto"/>
            </w:tcBorders>
            <w:vAlign w:val="center"/>
          </w:tcPr>
          <w:p w14:paraId="5498DD46"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bottom w:val="single" w:sz="4" w:space="0" w:color="auto"/>
              <w:right w:val="single" w:sz="4" w:space="0" w:color="auto"/>
            </w:tcBorders>
            <w:vAlign w:val="center"/>
          </w:tcPr>
          <w:p w14:paraId="076D9E06" w14:textId="77777777" w:rsidR="00475554" w:rsidRDefault="00475554">
            <w:pPr>
              <w:spacing w:before="60" w:after="60" w:line="240" w:lineRule="auto"/>
              <w:rPr>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3540C9F" w14:textId="77777777" w:rsidR="00475554" w:rsidRDefault="00157B87">
            <w:pPr>
              <w:spacing w:before="60" w:after="60" w:line="240" w:lineRule="auto"/>
              <w:rPr>
                <w:rFonts w:ascii="Calibri" w:hAnsi="Calibri"/>
                <w:color w:val="000000"/>
                <w:sz w:val="20"/>
                <w:szCs w:val="20"/>
              </w:rPr>
            </w:pPr>
            <w:r>
              <w:rPr>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1A74EB55" w14:textId="77777777" w:rsidR="00475554" w:rsidRDefault="00157B87">
            <w:pPr>
              <w:spacing w:before="60" w:after="60" w:line="240" w:lineRule="auto"/>
              <w:jc w:val="center"/>
              <w:rPr>
                <w:color w:val="000000"/>
                <w:sz w:val="20"/>
                <w:szCs w:val="20"/>
              </w:rPr>
            </w:pPr>
            <w:r>
              <w:rPr>
                <w:color w:val="000000"/>
                <w:sz w:val="20"/>
                <w:szCs w:val="20"/>
              </w:rPr>
              <w:t>-</w:t>
            </w:r>
          </w:p>
        </w:tc>
        <w:tc>
          <w:tcPr>
            <w:tcW w:w="1063" w:type="dxa"/>
            <w:tcBorders>
              <w:top w:val="single" w:sz="4" w:space="0" w:color="auto"/>
              <w:bottom w:val="single" w:sz="4" w:space="0" w:color="auto"/>
              <w:right w:val="single" w:sz="4" w:space="0" w:color="auto"/>
            </w:tcBorders>
            <w:vAlign w:val="center"/>
          </w:tcPr>
          <w:p w14:paraId="1274DEDE" w14:textId="77777777" w:rsidR="00475554" w:rsidRDefault="00157B87">
            <w:pPr>
              <w:spacing w:before="60" w:after="60" w:line="240" w:lineRule="auto"/>
              <w:jc w:val="center"/>
              <w:rPr>
                <w:color w:val="000000"/>
                <w:sz w:val="20"/>
                <w:szCs w:val="20"/>
              </w:rPr>
            </w:pPr>
            <w:r>
              <w:rPr>
                <w:color w:val="000000"/>
                <w:sz w:val="20"/>
                <w:szCs w:val="20"/>
              </w:rPr>
              <w:t>-</w:t>
            </w:r>
          </w:p>
        </w:tc>
        <w:tc>
          <w:tcPr>
            <w:tcW w:w="1063" w:type="dxa"/>
            <w:tcBorders>
              <w:top w:val="single" w:sz="4" w:space="0" w:color="auto"/>
              <w:bottom w:val="single" w:sz="4" w:space="0" w:color="auto"/>
              <w:right w:val="single" w:sz="4" w:space="0" w:color="auto"/>
            </w:tcBorders>
            <w:vAlign w:val="center"/>
          </w:tcPr>
          <w:p w14:paraId="2896ACF6" w14:textId="77777777" w:rsidR="00475554" w:rsidRDefault="00157B87">
            <w:pPr>
              <w:spacing w:before="60" w:after="60" w:line="240" w:lineRule="auto"/>
              <w:jc w:val="center"/>
              <w:rPr>
                <w:color w:val="000000"/>
                <w:sz w:val="20"/>
                <w:szCs w:val="20"/>
              </w:rPr>
            </w:pPr>
            <w:r>
              <w:rPr>
                <w:color w:val="000000"/>
                <w:sz w:val="20"/>
                <w:szCs w:val="20"/>
              </w:rPr>
              <w:t>-</w:t>
            </w:r>
          </w:p>
        </w:tc>
      </w:tr>
      <w:tr w:rsidR="00475554" w14:paraId="2CECB06F"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4B2A3A5A" w14:textId="77777777" w:rsidR="00475554" w:rsidRDefault="00157B87">
            <w:pPr>
              <w:spacing w:before="60" w:after="60" w:line="240" w:lineRule="auto"/>
              <w:rPr>
                <w:rFonts w:ascii="Calibri" w:hAnsi="Calibri"/>
                <w:color w:val="000000"/>
                <w:sz w:val="20"/>
                <w:szCs w:val="20"/>
              </w:rPr>
            </w:pPr>
            <w:r>
              <w:rPr>
                <w:color w:val="000000"/>
                <w:sz w:val="20"/>
                <w:szCs w:val="20"/>
              </w:rPr>
              <w:t>Krizová pomoc*</w:t>
            </w:r>
          </w:p>
        </w:tc>
        <w:tc>
          <w:tcPr>
            <w:tcW w:w="1276" w:type="dxa"/>
            <w:tcBorders>
              <w:top w:val="single" w:sz="4" w:space="0" w:color="auto"/>
              <w:left w:val="nil"/>
              <w:bottom w:val="single" w:sz="4" w:space="0" w:color="auto"/>
              <w:right w:val="single" w:sz="4" w:space="0" w:color="auto"/>
            </w:tcBorders>
            <w:vAlign w:val="center"/>
          </w:tcPr>
          <w:p w14:paraId="2E0D5A60"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bottom w:val="single" w:sz="4" w:space="0" w:color="auto"/>
              <w:right w:val="single" w:sz="4" w:space="0" w:color="auto"/>
            </w:tcBorders>
            <w:vAlign w:val="center"/>
          </w:tcPr>
          <w:p w14:paraId="5150D9E2" w14:textId="77777777" w:rsidR="00475554" w:rsidRDefault="00475554">
            <w:pPr>
              <w:spacing w:before="60" w:after="60" w:line="240" w:lineRule="auto"/>
              <w:rPr>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5C3981B" w14:textId="77777777" w:rsidR="00475554" w:rsidRDefault="00157B87">
            <w:pPr>
              <w:spacing w:before="60" w:after="60" w:line="240" w:lineRule="auto"/>
              <w:rPr>
                <w:rFonts w:ascii="Calibri" w:hAnsi="Calibri"/>
                <w:color w:val="000000"/>
                <w:sz w:val="20"/>
                <w:szCs w:val="20"/>
              </w:rPr>
            </w:pPr>
            <w:r>
              <w:rPr>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5BAF17F4" w14:textId="77777777" w:rsidR="00475554" w:rsidRDefault="00157B87">
            <w:pPr>
              <w:spacing w:before="60" w:after="60" w:line="240" w:lineRule="auto"/>
              <w:jc w:val="center"/>
              <w:rPr>
                <w:color w:val="000000"/>
                <w:sz w:val="20"/>
                <w:szCs w:val="20"/>
              </w:rPr>
            </w:pPr>
            <w:r>
              <w:rPr>
                <w:color w:val="000000"/>
                <w:sz w:val="20"/>
                <w:szCs w:val="20"/>
              </w:rPr>
              <w:t>-</w:t>
            </w:r>
          </w:p>
        </w:tc>
        <w:tc>
          <w:tcPr>
            <w:tcW w:w="1063" w:type="dxa"/>
            <w:tcBorders>
              <w:top w:val="single" w:sz="4" w:space="0" w:color="auto"/>
              <w:bottom w:val="single" w:sz="4" w:space="0" w:color="auto"/>
              <w:right w:val="single" w:sz="4" w:space="0" w:color="auto"/>
            </w:tcBorders>
            <w:vAlign w:val="center"/>
          </w:tcPr>
          <w:p w14:paraId="6736C4CE" w14:textId="77777777" w:rsidR="00475554" w:rsidRDefault="00157B87">
            <w:pPr>
              <w:spacing w:before="60" w:after="60" w:line="240" w:lineRule="auto"/>
              <w:jc w:val="center"/>
              <w:rPr>
                <w:color w:val="000000"/>
                <w:sz w:val="20"/>
                <w:szCs w:val="20"/>
              </w:rPr>
            </w:pPr>
            <w:r>
              <w:rPr>
                <w:color w:val="000000"/>
                <w:sz w:val="20"/>
                <w:szCs w:val="20"/>
              </w:rPr>
              <w:t>-</w:t>
            </w:r>
          </w:p>
        </w:tc>
        <w:tc>
          <w:tcPr>
            <w:tcW w:w="1063" w:type="dxa"/>
            <w:tcBorders>
              <w:top w:val="single" w:sz="4" w:space="0" w:color="auto"/>
              <w:bottom w:val="single" w:sz="4" w:space="0" w:color="auto"/>
              <w:right w:val="single" w:sz="4" w:space="0" w:color="auto"/>
            </w:tcBorders>
            <w:vAlign w:val="center"/>
          </w:tcPr>
          <w:p w14:paraId="3B28F285" w14:textId="77777777" w:rsidR="00475554" w:rsidRDefault="00157B87">
            <w:pPr>
              <w:spacing w:before="60" w:after="60" w:line="240" w:lineRule="auto"/>
              <w:jc w:val="center"/>
              <w:rPr>
                <w:color w:val="000000"/>
                <w:sz w:val="20"/>
                <w:szCs w:val="20"/>
              </w:rPr>
            </w:pPr>
            <w:r>
              <w:rPr>
                <w:color w:val="000000"/>
                <w:sz w:val="20"/>
                <w:szCs w:val="20"/>
              </w:rPr>
              <w:t>-</w:t>
            </w:r>
          </w:p>
        </w:tc>
      </w:tr>
      <w:tr w:rsidR="00475554" w14:paraId="7CC7EA3A"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0F395D2E"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Odlehčovací služby</w:t>
            </w:r>
          </w:p>
        </w:tc>
        <w:tc>
          <w:tcPr>
            <w:tcW w:w="1276" w:type="dxa"/>
            <w:tcBorders>
              <w:top w:val="single" w:sz="4" w:space="0" w:color="auto"/>
              <w:left w:val="nil"/>
              <w:bottom w:val="single" w:sz="4" w:space="0" w:color="auto"/>
              <w:right w:val="single" w:sz="4" w:space="0" w:color="auto"/>
            </w:tcBorders>
            <w:vAlign w:val="center"/>
          </w:tcPr>
          <w:p w14:paraId="26B872CC"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bottom w:val="single" w:sz="4" w:space="0" w:color="auto"/>
              <w:right w:val="single" w:sz="4" w:space="0" w:color="auto"/>
            </w:tcBorders>
            <w:vAlign w:val="center"/>
          </w:tcPr>
          <w:p w14:paraId="0D18C1B9"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9CC7FDF"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05524131"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4 %</w:t>
            </w:r>
          </w:p>
        </w:tc>
        <w:tc>
          <w:tcPr>
            <w:tcW w:w="1063" w:type="dxa"/>
            <w:tcBorders>
              <w:top w:val="single" w:sz="4" w:space="0" w:color="auto"/>
              <w:bottom w:val="single" w:sz="4" w:space="0" w:color="auto"/>
              <w:right w:val="single" w:sz="4" w:space="0" w:color="auto"/>
            </w:tcBorders>
            <w:vAlign w:val="center"/>
          </w:tcPr>
          <w:p w14:paraId="3F9BAA9A"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1,3 %</w:t>
            </w:r>
          </w:p>
        </w:tc>
        <w:tc>
          <w:tcPr>
            <w:tcW w:w="1063" w:type="dxa"/>
            <w:tcBorders>
              <w:top w:val="single" w:sz="4" w:space="0" w:color="auto"/>
              <w:bottom w:val="single" w:sz="4" w:space="0" w:color="auto"/>
              <w:right w:val="single" w:sz="4" w:space="0" w:color="auto"/>
            </w:tcBorders>
            <w:vAlign w:val="center"/>
          </w:tcPr>
          <w:p w14:paraId="51EC9974"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2,7 %</w:t>
            </w:r>
          </w:p>
        </w:tc>
      </w:tr>
      <w:tr w:rsidR="00475554" w14:paraId="19AB3C4E"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1C71B346" w14:textId="77777777" w:rsidR="00475554" w:rsidRDefault="00157B87">
            <w:pPr>
              <w:spacing w:before="60" w:after="60" w:line="240" w:lineRule="auto"/>
              <w:rPr>
                <w:rFonts w:ascii="Calibri" w:hAnsi="Calibri"/>
                <w:color w:val="000000"/>
                <w:sz w:val="20"/>
                <w:szCs w:val="20"/>
              </w:rPr>
            </w:pPr>
            <w:r>
              <w:rPr>
                <w:color w:val="000000"/>
                <w:sz w:val="20"/>
                <w:szCs w:val="20"/>
              </w:rPr>
              <w:t>Služby následné péče</w:t>
            </w:r>
          </w:p>
        </w:tc>
        <w:tc>
          <w:tcPr>
            <w:tcW w:w="1276" w:type="dxa"/>
            <w:tcBorders>
              <w:top w:val="single" w:sz="4" w:space="0" w:color="auto"/>
              <w:left w:val="nil"/>
              <w:bottom w:val="single" w:sz="4" w:space="0" w:color="auto"/>
              <w:right w:val="single" w:sz="4" w:space="0" w:color="auto"/>
            </w:tcBorders>
            <w:vAlign w:val="center"/>
          </w:tcPr>
          <w:p w14:paraId="50F7562D"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bottom w:val="single" w:sz="4" w:space="0" w:color="auto"/>
              <w:right w:val="single" w:sz="4" w:space="0" w:color="auto"/>
            </w:tcBorders>
            <w:vAlign w:val="center"/>
          </w:tcPr>
          <w:p w14:paraId="3BB1DCB5" w14:textId="77777777" w:rsidR="00475554" w:rsidRDefault="00475554">
            <w:pPr>
              <w:spacing w:before="60" w:after="60" w:line="240" w:lineRule="auto"/>
              <w:rPr>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16CD5DC" w14:textId="77777777" w:rsidR="00475554" w:rsidRDefault="00157B87">
            <w:pPr>
              <w:spacing w:before="60" w:after="60" w:line="240" w:lineRule="auto"/>
              <w:rPr>
                <w:rFonts w:ascii="Calibri" w:hAnsi="Calibri"/>
                <w:color w:val="000000"/>
                <w:sz w:val="20"/>
                <w:szCs w:val="20"/>
              </w:rPr>
            </w:pPr>
            <w:r>
              <w:rPr>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3755250D" w14:textId="77777777" w:rsidR="00475554" w:rsidRDefault="00FD6420">
            <w:pPr>
              <w:spacing w:before="60" w:after="60" w:line="240" w:lineRule="auto"/>
              <w:jc w:val="center"/>
              <w:rPr>
                <w:color w:val="000000"/>
                <w:sz w:val="20"/>
                <w:szCs w:val="20"/>
              </w:rPr>
            </w:pPr>
            <w:r>
              <w:rPr>
                <w:color w:val="000000"/>
                <w:sz w:val="20"/>
                <w:szCs w:val="20"/>
              </w:rPr>
              <w:t>10 %</w:t>
            </w:r>
          </w:p>
        </w:tc>
        <w:tc>
          <w:tcPr>
            <w:tcW w:w="1063" w:type="dxa"/>
            <w:tcBorders>
              <w:top w:val="single" w:sz="4" w:space="0" w:color="auto"/>
              <w:bottom w:val="single" w:sz="4" w:space="0" w:color="auto"/>
              <w:right w:val="single" w:sz="4" w:space="0" w:color="auto"/>
            </w:tcBorders>
            <w:vAlign w:val="center"/>
          </w:tcPr>
          <w:p w14:paraId="587B2C2D" w14:textId="77777777" w:rsidR="00475554" w:rsidRDefault="00FD6420">
            <w:pPr>
              <w:spacing w:before="60" w:after="60" w:line="240" w:lineRule="auto"/>
              <w:jc w:val="center"/>
              <w:rPr>
                <w:color w:val="000000"/>
                <w:sz w:val="20"/>
                <w:szCs w:val="20"/>
              </w:rPr>
            </w:pPr>
            <w:r>
              <w:rPr>
                <w:color w:val="000000"/>
                <w:sz w:val="20"/>
                <w:szCs w:val="20"/>
              </w:rPr>
              <w:t>3,3 %</w:t>
            </w:r>
          </w:p>
        </w:tc>
        <w:tc>
          <w:tcPr>
            <w:tcW w:w="1063" w:type="dxa"/>
            <w:tcBorders>
              <w:top w:val="single" w:sz="4" w:space="0" w:color="auto"/>
              <w:bottom w:val="single" w:sz="4" w:space="0" w:color="auto"/>
              <w:right w:val="single" w:sz="4" w:space="0" w:color="auto"/>
            </w:tcBorders>
            <w:vAlign w:val="center"/>
          </w:tcPr>
          <w:p w14:paraId="085AACFE" w14:textId="77777777" w:rsidR="00475554" w:rsidRDefault="00FD6420">
            <w:pPr>
              <w:spacing w:before="60" w:after="60" w:line="240" w:lineRule="auto"/>
              <w:jc w:val="center"/>
              <w:rPr>
                <w:color w:val="000000"/>
                <w:sz w:val="20"/>
                <w:szCs w:val="20"/>
              </w:rPr>
            </w:pPr>
            <w:r>
              <w:rPr>
                <w:color w:val="000000"/>
                <w:sz w:val="20"/>
                <w:szCs w:val="20"/>
              </w:rPr>
              <w:t>6,7 %</w:t>
            </w:r>
          </w:p>
        </w:tc>
      </w:tr>
      <w:tr w:rsidR="00475554" w14:paraId="26DB2016"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5935405F" w14:textId="77777777" w:rsidR="00475554" w:rsidRDefault="00157B87">
            <w:pPr>
              <w:spacing w:before="60" w:after="60" w:line="240" w:lineRule="auto"/>
              <w:rPr>
                <w:color w:val="000000"/>
                <w:sz w:val="20"/>
                <w:szCs w:val="20"/>
              </w:rPr>
            </w:pPr>
            <w:r>
              <w:rPr>
                <w:color w:val="000000"/>
                <w:sz w:val="20"/>
                <w:szCs w:val="20"/>
              </w:rPr>
              <w:t>Sociální rehabilitace</w:t>
            </w:r>
          </w:p>
        </w:tc>
        <w:tc>
          <w:tcPr>
            <w:tcW w:w="1276" w:type="dxa"/>
            <w:tcBorders>
              <w:top w:val="single" w:sz="4" w:space="0" w:color="auto"/>
              <w:left w:val="nil"/>
              <w:bottom w:val="single" w:sz="4" w:space="0" w:color="auto"/>
              <w:right w:val="single" w:sz="4" w:space="0" w:color="auto"/>
            </w:tcBorders>
            <w:vAlign w:val="center"/>
          </w:tcPr>
          <w:p w14:paraId="6AF353A7" w14:textId="77777777" w:rsidR="00475554" w:rsidRDefault="00475554">
            <w:pPr>
              <w:spacing w:before="60" w:after="60" w:line="240" w:lineRule="auto"/>
              <w:rPr>
                <w:color w:val="000000"/>
                <w:sz w:val="20"/>
                <w:szCs w:val="20"/>
              </w:rPr>
            </w:pPr>
          </w:p>
        </w:tc>
        <w:tc>
          <w:tcPr>
            <w:tcW w:w="1134" w:type="dxa"/>
            <w:tcBorders>
              <w:top w:val="single" w:sz="4" w:space="0" w:color="auto"/>
              <w:bottom w:val="single" w:sz="4" w:space="0" w:color="auto"/>
              <w:right w:val="single" w:sz="4" w:space="0" w:color="auto"/>
            </w:tcBorders>
            <w:vAlign w:val="center"/>
          </w:tcPr>
          <w:p w14:paraId="13DD1107" w14:textId="77777777" w:rsidR="00475554" w:rsidRDefault="00475554">
            <w:pPr>
              <w:spacing w:before="60" w:after="60" w:line="240" w:lineRule="auto"/>
              <w:rPr>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2E2E7A0" w14:textId="77777777" w:rsidR="00475554" w:rsidRDefault="00157B87">
            <w:pPr>
              <w:spacing w:before="60" w:after="60" w:line="240" w:lineRule="auto"/>
              <w:rPr>
                <w:color w:val="000000"/>
                <w:sz w:val="20"/>
                <w:szCs w:val="20"/>
              </w:rPr>
            </w:pPr>
            <w:r>
              <w:rPr>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75DCB3CC" w14:textId="77777777" w:rsidR="00475554" w:rsidRDefault="00157B87">
            <w:pPr>
              <w:spacing w:before="60" w:after="60" w:line="240" w:lineRule="auto"/>
              <w:jc w:val="center"/>
              <w:rPr>
                <w:color w:val="000000"/>
                <w:sz w:val="20"/>
                <w:szCs w:val="20"/>
              </w:rPr>
            </w:pPr>
            <w:r>
              <w:rPr>
                <w:rFonts w:ascii="Calibri" w:hAnsi="Calibri"/>
                <w:color w:val="000000"/>
                <w:sz w:val="20"/>
                <w:szCs w:val="20"/>
              </w:rPr>
              <w:t>10 %</w:t>
            </w:r>
          </w:p>
        </w:tc>
        <w:tc>
          <w:tcPr>
            <w:tcW w:w="1063" w:type="dxa"/>
            <w:tcBorders>
              <w:top w:val="single" w:sz="4" w:space="0" w:color="auto"/>
              <w:bottom w:val="single" w:sz="4" w:space="0" w:color="auto"/>
              <w:right w:val="single" w:sz="4" w:space="0" w:color="auto"/>
            </w:tcBorders>
            <w:vAlign w:val="center"/>
          </w:tcPr>
          <w:p w14:paraId="2EEA8EAC" w14:textId="77777777" w:rsidR="00475554" w:rsidRDefault="00157B87">
            <w:pPr>
              <w:spacing w:before="60" w:after="60" w:line="240" w:lineRule="auto"/>
              <w:jc w:val="center"/>
              <w:rPr>
                <w:color w:val="000000"/>
                <w:sz w:val="20"/>
                <w:szCs w:val="20"/>
              </w:rPr>
            </w:pPr>
            <w:r>
              <w:rPr>
                <w:rFonts w:ascii="Calibri" w:hAnsi="Calibri"/>
                <w:color w:val="000000"/>
                <w:sz w:val="20"/>
                <w:szCs w:val="20"/>
              </w:rPr>
              <w:t>3,3 %</w:t>
            </w:r>
          </w:p>
        </w:tc>
        <w:tc>
          <w:tcPr>
            <w:tcW w:w="1063" w:type="dxa"/>
            <w:tcBorders>
              <w:top w:val="single" w:sz="4" w:space="0" w:color="auto"/>
              <w:bottom w:val="single" w:sz="4" w:space="0" w:color="auto"/>
              <w:right w:val="single" w:sz="4" w:space="0" w:color="auto"/>
            </w:tcBorders>
            <w:vAlign w:val="center"/>
          </w:tcPr>
          <w:p w14:paraId="7770362C" w14:textId="77777777" w:rsidR="00475554" w:rsidRDefault="00157B87">
            <w:pPr>
              <w:spacing w:before="60" w:after="60" w:line="240" w:lineRule="auto"/>
              <w:jc w:val="center"/>
              <w:rPr>
                <w:color w:val="000000"/>
                <w:sz w:val="20"/>
                <w:szCs w:val="20"/>
              </w:rPr>
            </w:pPr>
            <w:r>
              <w:rPr>
                <w:rFonts w:ascii="Calibri" w:hAnsi="Calibri"/>
                <w:color w:val="000000"/>
                <w:sz w:val="20"/>
                <w:szCs w:val="20"/>
              </w:rPr>
              <w:t>6,7 %</w:t>
            </w:r>
          </w:p>
        </w:tc>
      </w:tr>
      <w:tr w:rsidR="00475554" w14:paraId="7130B1D2"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3F6AA743"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Sociální služby poskytované ve zdravotnických zařízeních lůžkové péče</w:t>
            </w:r>
          </w:p>
        </w:tc>
        <w:tc>
          <w:tcPr>
            <w:tcW w:w="1276" w:type="dxa"/>
            <w:tcBorders>
              <w:top w:val="single" w:sz="4" w:space="0" w:color="auto"/>
              <w:left w:val="nil"/>
              <w:bottom w:val="single" w:sz="4" w:space="0" w:color="auto"/>
              <w:right w:val="single" w:sz="4" w:space="0" w:color="auto"/>
            </w:tcBorders>
            <w:vAlign w:val="center"/>
          </w:tcPr>
          <w:p w14:paraId="799F82D0"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bottom w:val="single" w:sz="4" w:space="0" w:color="auto"/>
              <w:right w:val="single" w:sz="4" w:space="0" w:color="auto"/>
            </w:tcBorders>
            <w:vAlign w:val="center"/>
          </w:tcPr>
          <w:p w14:paraId="776A5EB8"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6C0AE1B"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68E425FC"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1 %</w:t>
            </w:r>
          </w:p>
        </w:tc>
        <w:tc>
          <w:tcPr>
            <w:tcW w:w="1063" w:type="dxa"/>
            <w:tcBorders>
              <w:top w:val="single" w:sz="4" w:space="0" w:color="auto"/>
              <w:bottom w:val="single" w:sz="4" w:space="0" w:color="auto"/>
              <w:right w:val="single" w:sz="4" w:space="0" w:color="auto"/>
            </w:tcBorders>
            <w:vAlign w:val="center"/>
          </w:tcPr>
          <w:p w14:paraId="13922F22"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0,3 %</w:t>
            </w:r>
          </w:p>
        </w:tc>
        <w:tc>
          <w:tcPr>
            <w:tcW w:w="1063" w:type="dxa"/>
            <w:tcBorders>
              <w:top w:val="single" w:sz="4" w:space="0" w:color="auto"/>
              <w:bottom w:val="single" w:sz="4" w:space="0" w:color="auto"/>
              <w:right w:val="single" w:sz="4" w:space="0" w:color="auto"/>
            </w:tcBorders>
            <w:vAlign w:val="center"/>
          </w:tcPr>
          <w:p w14:paraId="6A26E51E"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0,7 %</w:t>
            </w:r>
          </w:p>
        </w:tc>
      </w:tr>
      <w:tr w:rsidR="00475554" w14:paraId="0BBDF48F"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7422C424" w14:textId="77777777" w:rsidR="00475554" w:rsidRDefault="00157B87">
            <w:pPr>
              <w:spacing w:before="60" w:after="60" w:line="240" w:lineRule="auto"/>
              <w:rPr>
                <w:rFonts w:ascii="Calibri" w:hAnsi="Calibri"/>
                <w:color w:val="000000"/>
                <w:sz w:val="20"/>
                <w:szCs w:val="20"/>
              </w:rPr>
            </w:pPr>
            <w:r>
              <w:rPr>
                <w:color w:val="000000"/>
                <w:sz w:val="20"/>
                <w:szCs w:val="20"/>
              </w:rPr>
              <w:t>Terapeutické komunity*</w:t>
            </w:r>
          </w:p>
        </w:tc>
        <w:tc>
          <w:tcPr>
            <w:tcW w:w="1276" w:type="dxa"/>
            <w:tcBorders>
              <w:top w:val="single" w:sz="4" w:space="0" w:color="auto"/>
              <w:left w:val="nil"/>
              <w:bottom w:val="single" w:sz="4" w:space="0" w:color="auto"/>
              <w:right w:val="single" w:sz="4" w:space="0" w:color="auto"/>
            </w:tcBorders>
            <w:vAlign w:val="center"/>
          </w:tcPr>
          <w:p w14:paraId="74CB86D8"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bottom w:val="single" w:sz="4" w:space="0" w:color="auto"/>
              <w:right w:val="single" w:sz="4" w:space="0" w:color="auto"/>
            </w:tcBorders>
            <w:vAlign w:val="center"/>
          </w:tcPr>
          <w:p w14:paraId="3F0110B8" w14:textId="77777777" w:rsidR="00475554" w:rsidRDefault="00475554">
            <w:pPr>
              <w:spacing w:before="60" w:after="60" w:line="240" w:lineRule="auto"/>
              <w:rPr>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6EB2D40" w14:textId="77777777" w:rsidR="00475554" w:rsidRDefault="00157B87">
            <w:pPr>
              <w:spacing w:before="60" w:after="60" w:line="240" w:lineRule="auto"/>
              <w:rPr>
                <w:rFonts w:ascii="Calibri" w:hAnsi="Calibri"/>
                <w:color w:val="000000"/>
                <w:sz w:val="20"/>
                <w:szCs w:val="20"/>
              </w:rPr>
            </w:pPr>
            <w:r>
              <w:rPr>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2733B1E4" w14:textId="77777777" w:rsidR="00475554" w:rsidRDefault="00157B87">
            <w:pPr>
              <w:spacing w:before="60" w:after="60" w:line="240" w:lineRule="auto"/>
              <w:jc w:val="center"/>
              <w:rPr>
                <w:color w:val="000000"/>
                <w:sz w:val="20"/>
                <w:szCs w:val="20"/>
              </w:rPr>
            </w:pPr>
            <w:r>
              <w:rPr>
                <w:color w:val="000000"/>
                <w:sz w:val="20"/>
                <w:szCs w:val="20"/>
              </w:rPr>
              <w:t>-</w:t>
            </w:r>
          </w:p>
        </w:tc>
        <w:tc>
          <w:tcPr>
            <w:tcW w:w="1063" w:type="dxa"/>
            <w:tcBorders>
              <w:top w:val="single" w:sz="4" w:space="0" w:color="auto"/>
              <w:bottom w:val="single" w:sz="4" w:space="0" w:color="auto"/>
              <w:right w:val="single" w:sz="4" w:space="0" w:color="auto"/>
            </w:tcBorders>
            <w:vAlign w:val="center"/>
          </w:tcPr>
          <w:p w14:paraId="053C2FCE" w14:textId="77777777" w:rsidR="00475554" w:rsidRDefault="00157B87">
            <w:pPr>
              <w:spacing w:before="60" w:after="60" w:line="240" w:lineRule="auto"/>
              <w:jc w:val="center"/>
              <w:rPr>
                <w:color w:val="000000"/>
                <w:sz w:val="20"/>
                <w:szCs w:val="20"/>
              </w:rPr>
            </w:pPr>
            <w:r>
              <w:rPr>
                <w:color w:val="000000"/>
                <w:sz w:val="20"/>
                <w:szCs w:val="20"/>
              </w:rPr>
              <w:t>-</w:t>
            </w:r>
          </w:p>
        </w:tc>
        <w:tc>
          <w:tcPr>
            <w:tcW w:w="1063" w:type="dxa"/>
            <w:tcBorders>
              <w:top w:val="single" w:sz="4" w:space="0" w:color="auto"/>
              <w:bottom w:val="single" w:sz="4" w:space="0" w:color="auto"/>
              <w:right w:val="single" w:sz="4" w:space="0" w:color="auto"/>
            </w:tcBorders>
            <w:vAlign w:val="center"/>
          </w:tcPr>
          <w:p w14:paraId="7102993F" w14:textId="77777777" w:rsidR="00475554" w:rsidRDefault="00157B87">
            <w:pPr>
              <w:spacing w:before="60" w:after="60" w:line="240" w:lineRule="auto"/>
              <w:jc w:val="center"/>
              <w:rPr>
                <w:color w:val="000000"/>
                <w:sz w:val="20"/>
                <w:szCs w:val="20"/>
              </w:rPr>
            </w:pPr>
            <w:r>
              <w:rPr>
                <w:color w:val="000000"/>
                <w:sz w:val="20"/>
                <w:szCs w:val="20"/>
              </w:rPr>
              <w:t>-</w:t>
            </w:r>
          </w:p>
        </w:tc>
      </w:tr>
      <w:tr w:rsidR="00475554" w14:paraId="12D4A133" w14:textId="77777777" w:rsidTr="440ABA4D">
        <w:trPr>
          <w:cantSplit/>
          <w:trHeight w:val="454"/>
        </w:trPr>
        <w:tc>
          <w:tcPr>
            <w:tcW w:w="2410" w:type="dxa"/>
            <w:tcBorders>
              <w:top w:val="single" w:sz="4" w:space="0" w:color="auto"/>
              <w:left w:val="single" w:sz="4" w:space="0" w:color="auto"/>
              <w:bottom w:val="single" w:sz="4" w:space="0" w:color="auto"/>
              <w:right w:val="single" w:sz="4" w:space="0" w:color="auto"/>
            </w:tcBorders>
            <w:noWrap/>
            <w:vAlign w:val="center"/>
          </w:tcPr>
          <w:p w14:paraId="115BD05E"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Týdenní stacionáře</w:t>
            </w:r>
          </w:p>
        </w:tc>
        <w:tc>
          <w:tcPr>
            <w:tcW w:w="1276" w:type="dxa"/>
            <w:tcBorders>
              <w:top w:val="single" w:sz="4" w:space="0" w:color="auto"/>
              <w:left w:val="nil"/>
              <w:bottom w:val="single" w:sz="4" w:space="0" w:color="auto"/>
              <w:right w:val="single" w:sz="4" w:space="0" w:color="auto"/>
            </w:tcBorders>
            <w:vAlign w:val="center"/>
          </w:tcPr>
          <w:p w14:paraId="0A556564"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bottom w:val="single" w:sz="4" w:space="0" w:color="auto"/>
              <w:right w:val="single" w:sz="4" w:space="0" w:color="auto"/>
            </w:tcBorders>
            <w:vAlign w:val="center"/>
          </w:tcPr>
          <w:p w14:paraId="091F6C7F" w14:textId="77777777" w:rsidR="00475554" w:rsidRDefault="00475554">
            <w:pPr>
              <w:spacing w:before="60" w:after="60" w:line="240" w:lineRule="auto"/>
              <w:rPr>
                <w:rFonts w:ascii="Calibri" w:hAnsi="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591FC56"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Lůžko</w:t>
            </w:r>
          </w:p>
        </w:tc>
        <w:tc>
          <w:tcPr>
            <w:tcW w:w="992" w:type="dxa"/>
            <w:tcBorders>
              <w:top w:val="single" w:sz="4" w:space="0" w:color="auto"/>
              <w:bottom w:val="single" w:sz="4" w:space="0" w:color="auto"/>
              <w:right w:val="single" w:sz="4" w:space="0" w:color="auto"/>
            </w:tcBorders>
            <w:vAlign w:val="center"/>
          </w:tcPr>
          <w:p w14:paraId="1C8A2B90"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5 %</w:t>
            </w:r>
          </w:p>
        </w:tc>
        <w:tc>
          <w:tcPr>
            <w:tcW w:w="1063" w:type="dxa"/>
            <w:tcBorders>
              <w:top w:val="single" w:sz="4" w:space="0" w:color="auto"/>
              <w:bottom w:val="single" w:sz="4" w:space="0" w:color="auto"/>
              <w:right w:val="single" w:sz="4" w:space="0" w:color="auto"/>
            </w:tcBorders>
            <w:vAlign w:val="center"/>
          </w:tcPr>
          <w:p w14:paraId="7BB5EF40"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1,7 %</w:t>
            </w:r>
          </w:p>
        </w:tc>
        <w:tc>
          <w:tcPr>
            <w:tcW w:w="1063" w:type="dxa"/>
            <w:tcBorders>
              <w:top w:val="single" w:sz="4" w:space="0" w:color="auto"/>
              <w:bottom w:val="single" w:sz="4" w:space="0" w:color="auto"/>
              <w:right w:val="single" w:sz="4" w:space="0" w:color="auto"/>
            </w:tcBorders>
            <w:vAlign w:val="center"/>
          </w:tcPr>
          <w:p w14:paraId="0DA87672" w14:textId="77777777" w:rsidR="00475554" w:rsidRDefault="00157B87">
            <w:pPr>
              <w:spacing w:before="60" w:after="60" w:line="240" w:lineRule="auto"/>
              <w:jc w:val="center"/>
              <w:rPr>
                <w:rFonts w:ascii="Calibri" w:hAnsi="Calibri"/>
                <w:color w:val="000000"/>
                <w:sz w:val="20"/>
                <w:szCs w:val="20"/>
              </w:rPr>
            </w:pPr>
            <w:r>
              <w:rPr>
                <w:rFonts w:ascii="Calibri" w:eastAsiaTheme="minorHAnsi" w:hAnsi="Calibri"/>
                <w:color w:val="000000"/>
                <w:sz w:val="20"/>
                <w:szCs w:val="20"/>
              </w:rPr>
              <w:t>3,3 %</w:t>
            </w:r>
          </w:p>
        </w:tc>
      </w:tr>
    </w:tbl>
    <w:p w14:paraId="0238D455" w14:textId="77777777" w:rsidR="00475554" w:rsidRDefault="00157B87">
      <w:pPr>
        <w:spacing w:before="120" w:after="120"/>
        <w:jc w:val="both"/>
        <w:rPr>
          <w:i/>
          <w:sz w:val="20"/>
          <w:szCs w:val="20"/>
        </w:rPr>
      </w:pPr>
      <w:r>
        <w:rPr>
          <w:sz w:val="20"/>
          <w:szCs w:val="20"/>
        </w:rPr>
        <w:t xml:space="preserve">* </w:t>
      </w:r>
      <w:r>
        <w:rPr>
          <w:i/>
          <w:sz w:val="20"/>
          <w:szCs w:val="20"/>
        </w:rPr>
        <w:t>Druh sociální služby není v ZK zastoupen.</w:t>
      </w:r>
    </w:p>
    <w:p w14:paraId="59367A33" w14:textId="77777777" w:rsidR="00475554" w:rsidRDefault="00157B87">
      <w:pPr>
        <w:pStyle w:val="Default"/>
        <w:spacing w:before="120" w:after="120" w:line="276" w:lineRule="auto"/>
        <w:jc w:val="both"/>
        <w:rPr>
          <w:rFonts w:asciiTheme="minorHAnsi" w:hAnsiTheme="minorHAnsi" w:cstheme="minorHAnsi"/>
          <w:i/>
          <w:sz w:val="20"/>
          <w:szCs w:val="20"/>
        </w:rPr>
      </w:pPr>
      <w:r>
        <w:rPr>
          <w:rFonts w:asciiTheme="minorHAnsi" w:hAnsiTheme="minorHAnsi" w:cstheme="minorHAnsi"/>
          <w:i/>
          <w:sz w:val="20"/>
          <w:szCs w:val="20"/>
        </w:rPr>
        <w:t>** U těch druhů sociálních služeb, u nichž v rámci skupiny sociální služby není uvedena cílová skupina, ani kapacita sociální služby, je stanoven jednotný obvyklý náklad na jednotku pro daný druh sociální služby bez ohledu na cílovou skupinu a kapacitu sociální služby.</w:t>
      </w:r>
    </w:p>
    <w:p w14:paraId="45D671CC" w14:textId="7C4F47CB" w:rsidR="00475554" w:rsidRDefault="009E793A">
      <w:pPr>
        <w:spacing w:before="120" w:after="120"/>
        <w:jc w:val="both"/>
      </w:pPr>
      <w:r>
        <w:lastRenderedPageBreak/>
        <w:t>V případě, že bude v roce 202</w:t>
      </w:r>
      <w:r w:rsidR="47B51535">
        <w:t>7</w:t>
      </w:r>
      <w:r>
        <w:t xml:space="preserve"> realizován</w:t>
      </w:r>
      <w:r w:rsidR="00212063">
        <w:t>o</w:t>
      </w:r>
      <w:r>
        <w:t xml:space="preserve"> </w:t>
      </w:r>
      <w:r w:rsidR="00212063">
        <w:t>zařazení</w:t>
      </w:r>
      <w:r>
        <w:t xml:space="preserve"> nových kapacit </w:t>
      </w:r>
      <w:r w:rsidR="008703B5">
        <w:t>pobytových služe</w:t>
      </w:r>
      <w:r w:rsidR="0045084E">
        <w:t xml:space="preserve">b </w:t>
      </w:r>
      <w:r w:rsidR="00A905C4">
        <w:t>do sítí Zlínského kraje</w:t>
      </w:r>
      <w:r w:rsidR="00766275">
        <w:t xml:space="preserve">, bude </w:t>
      </w:r>
      <w:r w:rsidR="5A9FBB9E">
        <w:t>postupován</w:t>
      </w:r>
      <w:r w:rsidR="2ECB3EC2">
        <w:t>o</w:t>
      </w:r>
      <w:r w:rsidR="00631221">
        <w:t xml:space="preserve"> </w:t>
      </w:r>
      <w:r w:rsidR="0044281E">
        <w:t xml:space="preserve">podle </w:t>
      </w:r>
      <w:r w:rsidR="000F5B9E">
        <w:t>kritérií</w:t>
      </w:r>
      <w:r w:rsidR="006E4477">
        <w:t xml:space="preserve"> vstupu</w:t>
      </w:r>
      <w:r w:rsidR="0044281E">
        <w:t xml:space="preserve"> </w:t>
      </w:r>
      <w:r w:rsidR="007A1B48">
        <w:t xml:space="preserve">pro nové kapacity </w:t>
      </w:r>
      <w:r w:rsidR="006E4477">
        <w:t>nastavených</w:t>
      </w:r>
      <w:r w:rsidR="0029346F">
        <w:t xml:space="preserve"> </w:t>
      </w:r>
      <w:r w:rsidR="00A905C4" w:rsidRPr="4242278D">
        <w:rPr>
          <w:color w:val="000000" w:themeColor="text1"/>
        </w:rPr>
        <w:t>ve</w:t>
      </w:r>
      <w:r w:rsidR="008E6B76" w:rsidRPr="4242278D">
        <w:rPr>
          <w:color w:val="000000" w:themeColor="text1"/>
        </w:rPr>
        <w:t xml:space="preserve"> Střednědobé</w:t>
      </w:r>
      <w:r w:rsidR="00A905C4" w:rsidRPr="4242278D">
        <w:rPr>
          <w:color w:val="000000" w:themeColor="text1"/>
        </w:rPr>
        <w:t>m</w:t>
      </w:r>
      <w:r w:rsidR="008E6B76" w:rsidRPr="4242278D">
        <w:rPr>
          <w:color w:val="000000" w:themeColor="text1"/>
        </w:rPr>
        <w:t xml:space="preserve"> plánu 202</w:t>
      </w:r>
      <w:r w:rsidR="009C7F0B" w:rsidRPr="4242278D">
        <w:rPr>
          <w:color w:val="000000" w:themeColor="text1"/>
        </w:rPr>
        <w:t>6</w:t>
      </w:r>
      <w:r w:rsidR="008E6B76" w:rsidRPr="4242278D">
        <w:rPr>
          <w:color w:val="000000" w:themeColor="text1"/>
        </w:rPr>
        <w:t>–202</w:t>
      </w:r>
      <w:r w:rsidR="009C7F0B" w:rsidRPr="4242278D">
        <w:rPr>
          <w:color w:val="000000" w:themeColor="text1"/>
        </w:rPr>
        <w:t>8</w:t>
      </w:r>
      <w:r w:rsidR="008E6B76" w:rsidRPr="4242278D">
        <w:rPr>
          <w:color w:val="000000" w:themeColor="text1"/>
        </w:rPr>
        <w:t>, v platném znění,</w:t>
      </w:r>
      <w:r w:rsidR="008E6B76">
        <w:t xml:space="preserve"> </w:t>
      </w:r>
      <w:r w:rsidR="001710C2">
        <w:t>vč. jeho prováděcích částí (</w:t>
      </w:r>
      <w:r w:rsidR="0029346F">
        <w:t>Akční plán</w:t>
      </w:r>
      <w:r w:rsidR="00362345">
        <w:t xml:space="preserve"> </w:t>
      </w:r>
      <w:r w:rsidR="007A1B48">
        <w:t>pro daný rok</w:t>
      </w:r>
      <w:r w:rsidR="001710C2">
        <w:t>)</w:t>
      </w:r>
      <w:r w:rsidR="00362345">
        <w:t>.</w:t>
      </w:r>
    </w:p>
    <w:p w14:paraId="4ED8817D" w14:textId="03E8A197" w:rsidR="00475554" w:rsidRDefault="00157B87">
      <w:pPr>
        <w:spacing w:before="120" w:after="120"/>
        <w:jc w:val="both"/>
      </w:pPr>
      <w:r>
        <w:t xml:space="preserve">Předpokládané </w:t>
      </w:r>
      <w:r w:rsidR="00DB6061">
        <w:t xml:space="preserve">modelované </w:t>
      </w:r>
      <w:r>
        <w:t>podíly územních samosprávných celků uvedené v Tabulce č. 3 se nepoužijí pro financování sociálních služeb, na které Zlínský kraj získá finanční prostředky v rámci individuálních projektů spolufinancovaných z Operačního programu Zaměstnanost</w:t>
      </w:r>
      <w:r w:rsidR="00EE49FE">
        <w:t xml:space="preserve"> plus</w:t>
      </w:r>
      <w:r>
        <w:t>, případně dalších individuálních projektů spolufinancovaných z fondů EU. Podíl kofinancování z úrovně ÚSC v tomto případě stanoví příslušný Program.</w:t>
      </w:r>
      <w:r w:rsidR="0054431A">
        <w:t xml:space="preserve"> </w:t>
      </w:r>
      <w:r w:rsidR="00714762" w:rsidRPr="00DB45CB">
        <w:rPr>
          <w:highlight w:val="yellow"/>
        </w:rPr>
        <w:t xml:space="preserve">Stanovené podíly se také nepoužijí </w:t>
      </w:r>
      <w:r w:rsidR="009C03EC" w:rsidRPr="00DB45CB">
        <w:rPr>
          <w:highlight w:val="yellow"/>
        </w:rPr>
        <w:t>v případě, kdy veřejným zadavatelem a garantem služby je Zlínský kraj nebo obec a jejich podíl je tak nastaven odlišně. Takové služby jsou</w:t>
      </w:r>
      <w:r w:rsidR="00B17564" w:rsidRPr="00DB45CB">
        <w:rPr>
          <w:highlight w:val="yellow"/>
        </w:rPr>
        <w:t xml:space="preserve"> v</w:t>
      </w:r>
      <w:r w:rsidR="009C03EC" w:rsidRPr="00DB45CB">
        <w:rPr>
          <w:highlight w:val="yellow"/>
        </w:rPr>
        <w:t xml:space="preserve"> Základní síti označeny ve sloupci Skupina.</w:t>
      </w:r>
      <w:r w:rsidR="009C03EC">
        <w:t xml:space="preserve"> </w:t>
      </w:r>
    </w:p>
    <w:p w14:paraId="3F03D1ED" w14:textId="77777777" w:rsidR="00D11C38" w:rsidRDefault="00D11C38">
      <w:pPr>
        <w:spacing w:before="120" w:after="120"/>
        <w:jc w:val="both"/>
      </w:pPr>
    </w:p>
    <w:p w14:paraId="0B2A2777" w14:textId="230E5A99" w:rsidR="00475554" w:rsidRDefault="00157B87">
      <w:pPr>
        <w:pStyle w:val="Nadpis2"/>
        <w:spacing w:before="120" w:after="120"/>
        <w:ind w:left="709" w:hanging="709"/>
        <w:jc w:val="both"/>
        <w:rPr>
          <w:rFonts w:ascii="Calibri" w:hAnsi="Calibri"/>
          <w:sz w:val="28"/>
          <w:szCs w:val="28"/>
        </w:rPr>
      </w:pPr>
      <w:bookmarkStart w:id="75" w:name="_Toc381693839"/>
      <w:bookmarkStart w:id="76" w:name="_Toc381728886"/>
      <w:bookmarkStart w:id="77" w:name="_Toc381732692"/>
      <w:bookmarkStart w:id="78" w:name="_Toc381693840"/>
      <w:bookmarkStart w:id="79" w:name="_Toc381728887"/>
      <w:bookmarkStart w:id="80" w:name="_Toc381732693"/>
      <w:bookmarkStart w:id="81" w:name="_Toc230777922"/>
      <w:bookmarkStart w:id="82" w:name="_Toc386625355"/>
      <w:bookmarkStart w:id="83" w:name="_Toc386794696"/>
      <w:bookmarkStart w:id="84" w:name="_Toc385925702"/>
      <w:bookmarkStart w:id="85" w:name="_Toc386794775"/>
      <w:bookmarkStart w:id="86" w:name="_Toc386794849"/>
      <w:bookmarkEnd w:id="75"/>
      <w:bookmarkEnd w:id="76"/>
      <w:bookmarkEnd w:id="77"/>
      <w:bookmarkEnd w:id="78"/>
      <w:bookmarkEnd w:id="79"/>
      <w:bookmarkEnd w:id="80"/>
      <w:r>
        <w:rPr>
          <w:rFonts w:ascii="Calibri" w:hAnsi="Calibri"/>
          <w:sz w:val="28"/>
          <w:szCs w:val="28"/>
        </w:rPr>
        <w:t xml:space="preserve">Ambulantní a </w:t>
      </w:r>
      <w:r w:rsidR="00DC1CDE">
        <w:rPr>
          <w:rFonts w:ascii="Calibri" w:hAnsi="Calibri"/>
          <w:sz w:val="28"/>
          <w:szCs w:val="28"/>
        </w:rPr>
        <w:t>t</w:t>
      </w:r>
      <w:r>
        <w:rPr>
          <w:rFonts w:ascii="Calibri" w:hAnsi="Calibri"/>
          <w:sz w:val="28"/>
          <w:szCs w:val="28"/>
        </w:rPr>
        <w:t>erénní sociální služby</w:t>
      </w:r>
      <w:bookmarkEnd w:id="81"/>
    </w:p>
    <w:p w14:paraId="6B38BA26" w14:textId="77777777" w:rsidR="00475554" w:rsidRDefault="00475554">
      <w:pPr>
        <w:spacing w:before="120" w:after="120"/>
        <w:jc w:val="both"/>
      </w:pPr>
    </w:p>
    <w:p w14:paraId="7A4A2D4D" w14:textId="6FD3A1E7" w:rsidR="00475554" w:rsidRDefault="00157B87">
      <w:pPr>
        <w:spacing w:before="120" w:after="120"/>
        <w:jc w:val="both"/>
      </w:pPr>
      <w:r>
        <w:t xml:space="preserve">Ve smyslu </w:t>
      </w:r>
      <w:r w:rsidR="00077C41">
        <w:t>§ 33 odst. 3</w:t>
      </w:r>
      <w:r w:rsidR="00196CBB">
        <w:t xml:space="preserve"> </w:t>
      </w:r>
      <w:r>
        <w:t xml:space="preserve">zákona </w:t>
      </w:r>
      <w:r w:rsidR="00077C41">
        <w:t>č. 108/2006 Sb.</w:t>
      </w:r>
      <w:r>
        <w:t xml:space="preserve"> se ambulantními službami sociální péče a sociální prevence rozumí služby, za kterými osoba dochází nebo je doprovázena nebo dopravována do zařízení sociálních služeb a součástí služby není ubytování.</w:t>
      </w:r>
    </w:p>
    <w:p w14:paraId="0AB8D996" w14:textId="77777777" w:rsidR="00475554" w:rsidRDefault="00475554">
      <w:pPr>
        <w:spacing w:before="120" w:after="120"/>
        <w:jc w:val="both"/>
      </w:pPr>
    </w:p>
    <w:bookmarkEnd w:id="82"/>
    <w:bookmarkEnd w:id="83"/>
    <w:bookmarkEnd w:id="84"/>
    <w:bookmarkEnd w:id="85"/>
    <w:bookmarkEnd w:id="86"/>
    <w:p w14:paraId="708017A5" w14:textId="77777777" w:rsidR="00475554" w:rsidRDefault="00157B87">
      <w:pPr>
        <w:spacing w:before="120" w:after="120"/>
        <w:jc w:val="both"/>
        <w:rPr>
          <w:b/>
        </w:rPr>
      </w:pPr>
      <w:r>
        <w:rPr>
          <w:b/>
        </w:rPr>
        <w:t>Ambulantní služby sociální péče zahrnují následující druhy sociálních služeb:</w:t>
      </w:r>
    </w:p>
    <w:p w14:paraId="7D181211"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Centra denních služeb</w:t>
      </w:r>
    </w:p>
    <w:p w14:paraId="1F7A2391"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Denní stacionáře</w:t>
      </w:r>
    </w:p>
    <w:p w14:paraId="2BB3423A"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Odlehčovací služby*</w:t>
      </w:r>
    </w:p>
    <w:p w14:paraId="170068AA"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Pečovatelská služba*</w:t>
      </w:r>
    </w:p>
    <w:p w14:paraId="05BC0113"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Průvodcovské a předčitatelské služby*</w:t>
      </w:r>
    </w:p>
    <w:p w14:paraId="1881FC0A" w14:textId="77777777" w:rsidR="00475554" w:rsidRDefault="00157B87">
      <w:pPr>
        <w:spacing w:before="120" w:after="120"/>
        <w:ind w:left="425" w:hanging="425"/>
        <w:jc w:val="both"/>
        <w:rPr>
          <w:i/>
          <w:sz w:val="18"/>
          <w:szCs w:val="18"/>
        </w:rPr>
      </w:pPr>
      <w:r>
        <w:rPr>
          <w:i/>
        </w:rPr>
        <w:t>*</w:t>
      </w:r>
      <w:r>
        <w:rPr>
          <w:i/>
          <w:sz w:val="18"/>
          <w:szCs w:val="18"/>
        </w:rPr>
        <w:t xml:space="preserve"> Sociální služby, které mohou být poskytovány ambulantní i terénní formou.</w:t>
      </w:r>
    </w:p>
    <w:p w14:paraId="4DAEBFB5" w14:textId="77777777" w:rsidR="00475554" w:rsidRDefault="00475554">
      <w:pPr>
        <w:pStyle w:val="Normlnweb"/>
        <w:spacing w:before="120" w:beforeAutospacing="0" w:after="120" w:afterAutospacing="0" w:line="276" w:lineRule="auto"/>
        <w:jc w:val="both"/>
        <w:rPr>
          <w:rFonts w:asciiTheme="minorHAnsi" w:hAnsiTheme="minorHAnsi"/>
          <w:sz w:val="22"/>
          <w:szCs w:val="22"/>
        </w:rPr>
      </w:pPr>
    </w:p>
    <w:p w14:paraId="43FD65CF" w14:textId="77777777" w:rsidR="00475554" w:rsidRDefault="00157B87">
      <w:pPr>
        <w:spacing w:before="120" w:after="120"/>
        <w:jc w:val="both"/>
      </w:pPr>
      <w:r>
        <w:rPr>
          <w:b/>
        </w:rPr>
        <w:t>Ambulantní služby sociální prevence zahrnují následující druhy sociálních služeb</w:t>
      </w:r>
      <w:r>
        <w:t>:</w:t>
      </w:r>
    </w:p>
    <w:p w14:paraId="6867D818" w14:textId="77777777" w:rsidR="009621F0" w:rsidRPr="009621F0" w:rsidRDefault="009621F0">
      <w:pPr>
        <w:pStyle w:val="Odstavecseseznamem"/>
        <w:numPr>
          <w:ilvl w:val="0"/>
          <w:numId w:val="5"/>
        </w:numPr>
        <w:spacing w:before="120" w:after="120"/>
        <w:ind w:left="425" w:hanging="425"/>
        <w:contextualSpacing w:val="0"/>
        <w:jc w:val="both"/>
        <w:rPr>
          <w:rFonts w:cs="Arial"/>
        </w:rPr>
      </w:pPr>
      <w:r>
        <w:rPr>
          <w:rFonts w:cstheme="minorHAnsi"/>
        </w:rPr>
        <w:t>Centrum duševního zdraví*</w:t>
      </w:r>
    </w:p>
    <w:p w14:paraId="6B3794FB" w14:textId="64674250" w:rsidR="00475554" w:rsidRDefault="00157B87">
      <w:pPr>
        <w:pStyle w:val="Odstavecseseznamem"/>
        <w:numPr>
          <w:ilvl w:val="0"/>
          <w:numId w:val="5"/>
        </w:numPr>
        <w:spacing w:before="120" w:after="120"/>
        <w:ind w:left="425" w:hanging="425"/>
        <w:contextualSpacing w:val="0"/>
        <w:jc w:val="both"/>
        <w:rPr>
          <w:rFonts w:cs="Arial"/>
        </w:rPr>
      </w:pPr>
      <w:r>
        <w:rPr>
          <w:rFonts w:cs="Arial"/>
        </w:rPr>
        <w:t>Intervenční centra*</w:t>
      </w:r>
    </w:p>
    <w:p w14:paraId="4E5B58C5"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Kontaktní centra*</w:t>
      </w:r>
    </w:p>
    <w:p w14:paraId="21695383"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Krizová pomoc*</w:t>
      </w:r>
    </w:p>
    <w:p w14:paraId="60B5892D"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Nízkoprahová denní centra*</w:t>
      </w:r>
    </w:p>
    <w:p w14:paraId="2F5C7338"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Nízkoprahová zařízení pro děti a mládež*</w:t>
      </w:r>
    </w:p>
    <w:p w14:paraId="08BCE617"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Noclehárny</w:t>
      </w:r>
    </w:p>
    <w:p w14:paraId="51D3C36A"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Raná péče*</w:t>
      </w:r>
    </w:p>
    <w:p w14:paraId="43FCA927"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Služby následné péče</w:t>
      </w:r>
    </w:p>
    <w:p w14:paraId="4EF2095F"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lastRenderedPageBreak/>
        <w:t>Sociálně aktivizační služby pro rodiny s dětmi*</w:t>
      </w:r>
    </w:p>
    <w:p w14:paraId="365E50F0"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Sociálně aktivizační služby pro seniory a osoby se zdravotním postižením*</w:t>
      </w:r>
    </w:p>
    <w:p w14:paraId="5B53CF58"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Sociálně terapeutické dílny</w:t>
      </w:r>
    </w:p>
    <w:p w14:paraId="394639BD" w14:textId="77777777" w:rsidR="00475554" w:rsidRDefault="00157B87">
      <w:pPr>
        <w:pStyle w:val="Odstavecseseznamem"/>
        <w:numPr>
          <w:ilvl w:val="0"/>
          <w:numId w:val="5"/>
        </w:numPr>
        <w:spacing w:before="120" w:after="120"/>
        <w:ind w:left="425" w:hanging="425"/>
        <w:contextualSpacing w:val="0"/>
        <w:jc w:val="both"/>
        <w:rPr>
          <w:rFonts w:cs="Arial"/>
        </w:rPr>
      </w:pPr>
      <w:r>
        <w:rPr>
          <w:rFonts w:cs="Arial"/>
        </w:rPr>
        <w:t>Sociální rehabilitace*</w:t>
      </w:r>
    </w:p>
    <w:p w14:paraId="5621C82C" w14:textId="77777777" w:rsidR="00475554" w:rsidRDefault="00157B87">
      <w:pPr>
        <w:pStyle w:val="Odstavecseseznamem"/>
        <w:numPr>
          <w:ilvl w:val="0"/>
          <w:numId w:val="5"/>
        </w:numPr>
        <w:spacing w:before="120" w:after="120"/>
        <w:ind w:left="425" w:hanging="425"/>
        <w:contextualSpacing w:val="0"/>
        <w:jc w:val="both"/>
      </w:pPr>
      <w:r>
        <w:rPr>
          <w:rFonts w:cs="Arial"/>
        </w:rPr>
        <w:t>Tlumočnické služby*</w:t>
      </w:r>
    </w:p>
    <w:p w14:paraId="690928E2" w14:textId="77777777" w:rsidR="00475554" w:rsidRDefault="00157B87">
      <w:pPr>
        <w:spacing w:before="120" w:after="120"/>
        <w:jc w:val="both"/>
        <w:rPr>
          <w:i/>
          <w:sz w:val="18"/>
          <w:szCs w:val="18"/>
        </w:rPr>
      </w:pPr>
      <w:r>
        <w:rPr>
          <w:i/>
        </w:rPr>
        <w:t xml:space="preserve">* </w:t>
      </w:r>
      <w:r>
        <w:rPr>
          <w:i/>
          <w:sz w:val="18"/>
          <w:szCs w:val="18"/>
        </w:rPr>
        <w:t>Sociální služby, které mohou být poskytovány ambulantní i terénní formou.</w:t>
      </w:r>
    </w:p>
    <w:p w14:paraId="1F724B55" w14:textId="77777777" w:rsidR="00475554" w:rsidRDefault="00475554">
      <w:pPr>
        <w:pStyle w:val="Normlnweb"/>
        <w:spacing w:before="120" w:beforeAutospacing="0" w:after="120" w:afterAutospacing="0" w:line="276" w:lineRule="auto"/>
        <w:jc w:val="both"/>
        <w:rPr>
          <w:rFonts w:asciiTheme="minorHAnsi" w:hAnsiTheme="minorHAnsi"/>
          <w:sz w:val="22"/>
          <w:szCs w:val="22"/>
        </w:rPr>
      </w:pPr>
    </w:p>
    <w:p w14:paraId="2A4F6234" w14:textId="40C2ECA9" w:rsidR="00475554" w:rsidRDefault="00157B87">
      <w:pPr>
        <w:spacing w:before="120" w:after="120"/>
        <w:jc w:val="both"/>
      </w:pPr>
      <w:r>
        <w:t xml:space="preserve">Ve smyslu </w:t>
      </w:r>
      <w:r w:rsidR="00077C41">
        <w:t xml:space="preserve">§ 33 odst. 4 </w:t>
      </w:r>
      <w:r>
        <w:t xml:space="preserve">zákona </w:t>
      </w:r>
      <w:r w:rsidR="00077C41">
        <w:t>č. 108/2006 Sb.</w:t>
      </w:r>
      <w:r>
        <w:t xml:space="preserve"> se terénními službami sociální péče a sociální prevence rozumí služby poskytované osobě v jejím přirozeném prostředí.</w:t>
      </w:r>
    </w:p>
    <w:p w14:paraId="42773969" w14:textId="77777777" w:rsidR="00475554" w:rsidRDefault="00475554">
      <w:pPr>
        <w:spacing w:before="120" w:after="120"/>
        <w:jc w:val="both"/>
      </w:pPr>
    </w:p>
    <w:p w14:paraId="72E246C9" w14:textId="77777777" w:rsidR="00475554" w:rsidRDefault="00157B87">
      <w:pPr>
        <w:spacing w:before="120" w:after="120"/>
        <w:jc w:val="both"/>
        <w:rPr>
          <w:b/>
        </w:rPr>
      </w:pPr>
      <w:r>
        <w:rPr>
          <w:b/>
        </w:rPr>
        <w:t>Terénní služby sociální péče zahrnují následující druhy sociálních služeb:</w:t>
      </w:r>
    </w:p>
    <w:p w14:paraId="6DC27E75"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Odlehčovací služby*</w:t>
      </w:r>
    </w:p>
    <w:p w14:paraId="597A4F01"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Osobní asistence</w:t>
      </w:r>
    </w:p>
    <w:p w14:paraId="4435C6FC"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Pečovatelská služba*</w:t>
      </w:r>
    </w:p>
    <w:p w14:paraId="5E1F816B"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Podpora samostatného bydlení</w:t>
      </w:r>
    </w:p>
    <w:p w14:paraId="79B4D7D5"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Průvodcovské a předčitatelské služby*</w:t>
      </w:r>
    </w:p>
    <w:p w14:paraId="29C91126"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Tísňová péče</w:t>
      </w:r>
    </w:p>
    <w:p w14:paraId="21A3A191" w14:textId="77777777" w:rsidR="00475554" w:rsidRDefault="00157B87">
      <w:pPr>
        <w:spacing w:before="120" w:after="120"/>
        <w:ind w:left="426" w:hanging="426"/>
        <w:jc w:val="both"/>
        <w:rPr>
          <w:i/>
          <w:sz w:val="18"/>
          <w:szCs w:val="18"/>
        </w:rPr>
      </w:pPr>
      <w:r>
        <w:rPr>
          <w:i/>
        </w:rPr>
        <w:t xml:space="preserve">* </w:t>
      </w:r>
      <w:r>
        <w:rPr>
          <w:i/>
          <w:sz w:val="18"/>
          <w:szCs w:val="18"/>
        </w:rPr>
        <w:t>Sociální služby, které mohou být poskytovány terénní i ambulantní formou.</w:t>
      </w:r>
    </w:p>
    <w:p w14:paraId="1D7A0B73" w14:textId="77777777" w:rsidR="00475554" w:rsidRDefault="00475554">
      <w:pPr>
        <w:pStyle w:val="Normlnweb"/>
        <w:spacing w:before="120" w:beforeAutospacing="0" w:after="120" w:afterAutospacing="0" w:line="276" w:lineRule="auto"/>
        <w:jc w:val="both"/>
        <w:rPr>
          <w:rFonts w:asciiTheme="minorHAnsi" w:hAnsiTheme="minorHAnsi"/>
          <w:sz w:val="22"/>
          <w:szCs w:val="22"/>
        </w:rPr>
      </w:pPr>
    </w:p>
    <w:p w14:paraId="6E15F119" w14:textId="77777777" w:rsidR="00475554" w:rsidRDefault="00157B87">
      <w:pPr>
        <w:spacing w:before="120" w:after="120"/>
        <w:jc w:val="both"/>
        <w:rPr>
          <w:b/>
        </w:rPr>
      </w:pPr>
      <w:r>
        <w:rPr>
          <w:b/>
        </w:rPr>
        <w:t>Terénní služby sociální prevence zahrnují následující druhy sociálních služeb:</w:t>
      </w:r>
    </w:p>
    <w:p w14:paraId="61CCC9D0" w14:textId="77777777" w:rsidR="009621F0" w:rsidRPr="009621F0" w:rsidRDefault="009621F0">
      <w:pPr>
        <w:pStyle w:val="Odstavecseseznamem"/>
        <w:numPr>
          <w:ilvl w:val="0"/>
          <w:numId w:val="5"/>
        </w:numPr>
        <w:spacing w:before="120" w:after="120"/>
        <w:ind w:left="426" w:hanging="426"/>
        <w:contextualSpacing w:val="0"/>
        <w:jc w:val="both"/>
        <w:rPr>
          <w:rFonts w:cs="Arial"/>
        </w:rPr>
      </w:pPr>
      <w:r>
        <w:rPr>
          <w:rFonts w:cstheme="minorHAnsi"/>
        </w:rPr>
        <w:t>Centrum duševního zdraví*</w:t>
      </w:r>
    </w:p>
    <w:p w14:paraId="5ACF405F" w14:textId="41D9F65B" w:rsidR="00475554" w:rsidRDefault="00157B87">
      <w:pPr>
        <w:pStyle w:val="Odstavecseseznamem"/>
        <w:numPr>
          <w:ilvl w:val="0"/>
          <w:numId w:val="5"/>
        </w:numPr>
        <w:spacing w:before="120" w:after="120"/>
        <w:ind w:left="426" w:hanging="426"/>
        <w:contextualSpacing w:val="0"/>
        <w:jc w:val="both"/>
        <w:rPr>
          <w:rFonts w:cs="Arial"/>
        </w:rPr>
      </w:pPr>
      <w:r>
        <w:rPr>
          <w:rFonts w:cs="Arial"/>
        </w:rPr>
        <w:t>Intervenční centra*</w:t>
      </w:r>
    </w:p>
    <w:p w14:paraId="5BE552C1"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Kontaktní centra*</w:t>
      </w:r>
    </w:p>
    <w:p w14:paraId="07A49294"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Krizová pomoc*</w:t>
      </w:r>
    </w:p>
    <w:p w14:paraId="4F97F0C9"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Nízkoprahová denní centra*</w:t>
      </w:r>
    </w:p>
    <w:p w14:paraId="12FD31A1"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Nízkoprahová zařízení pro děti a mládež*</w:t>
      </w:r>
    </w:p>
    <w:p w14:paraId="1665A277"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Raná péče*</w:t>
      </w:r>
    </w:p>
    <w:p w14:paraId="541672D1"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Sociálně aktivizační služby pro rodiny s dětmi*</w:t>
      </w:r>
    </w:p>
    <w:p w14:paraId="7C3F8F9E"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Sociálně aktivizační služby pro seniory a osoby se zdravotním postižením*</w:t>
      </w:r>
    </w:p>
    <w:p w14:paraId="2D759C7B"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Sociální rehabilitace*</w:t>
      </w:r>
    </w:p>
    <w:p w14:paraId="1400ECBC"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Telefonická krizová pomoc</w:t>
      </w:r>
    </w:p>
    <w:p w14:paraId="028697CE"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Terénní programy</w:t>
      </w:r>
    </w:p>
    <w:p w14:paraId="007A7376" w14:textId="77777777" w:rsidR="00475554" w:rsidRDefault="00157B87">
      <w:pPr>
        <w:pStyle w:val="Odstavecseseznamem"/>
        <w:numPr>
          <w:ilvl w:val="0"/>
          <w:numId w:val="5"/>
        </w:numPr>
        <w:spacing w:before="120" w:after="120"/>
        <w:ind w:left="426" w:hanging="426"/>
        <w:contextualSpacing w:val="0"/>
        <w:jc w:val="both"/>
      </w:pPr>
      <w:r>
        <w:rPr>
          <w:rFonts w:cs="Arial"/>
        </w:rPr>
        <w:t>Tlumočnické služby*</w:t>
      </w:r>
    </w:p>
    <w:p w14:paraId="74AC1D21" w14:textId="77777777" w:rsidR="00475554" w:rsidRDefault="00157B87">
      <w:pPr>
        <w:spacing w:before="120" w:after="120"/>
        <w:ind w:left="426" w:hanging="426"/>
        <w:jc w:val="both"/>
        <w:rPr>
          <w:i/>
          <w:sz w:val="18"/>
          <w:szCs w:val="18"/>
        </w:rPr>
      </w:pPr>
      <w:r>
        <w:rPr>
          <w:i/>
        </w:rPr>
        <w:lastRenderedPageBreak/>
        <w:t xml:space="preserve">* </w:t>
      </w:r>
      <w:r>
        <w:rPr>
          <w:i/>
          <w:sz w:val="18"/>
          <w:szCs w:val="18"/>
        </w:rPr>
        <w:t>Sociální služby, které mohou být poskytovány terénní i ambulantní formou.</w:t>
      </w:r>
    </w:p>
    <w:p w14:paraId="09E672B9" w14:textId="77777777" w:rsidR="00475554" w:rsidRDefault="00475554">
      <w:pPr>
        <w:pStyle w:val="Normlnweb"/>
        <w:spacing w:before="120" w:beforeAutospacing="0" w:after="120" w:afterAutospacing="0" w:line="276" w:lineRule="auto"/>
        <w:jc w:val="both"/>
        <w:rPr>
          <w:rFonts w:asciiTheme="minorHAnsi" w:hAnsiTheme="minorHAnsi"/>
          <w:sz w:val="22"/>
          <w:szCs w:val="22"/>
        </w:rPr>
      </w:pPr>
    </w:p>
    <w:p w14:paraId="68CBCDB0" w14:textId="77777777" w:rsidR="00475554" w:rsidRDefault="00157B87">
      <w:pPr>
        <w:spacing w:before="120" w:after="120"/>
        <w:jc w:val="both"/>
      </w:pPr>
      <w:r>
        <w:rPr>
          <w:b/>
        </w:rPr>
        <w:t>Ambulantní a terénní služby sociálního poradenství zahrnují následující druhy sociálních služeb</w:t>
      </w:r>
      <w:r>
        <w:t xml:space="preserve">: </w:t>
      </w:r>
    </w:p>
    <w:p w14:paraId="6D9ED8C3" w14:textId="77777777" w:rsidR="00475554" w:rsidRDefault="00157B87">
      <w:pPr>
        <w:pStyle w:val="Odstavecseseznamem"/>
        <w:numPr>
          <w:ilvl w:val="0"/>
          <w:numId w:val="5"/>
        </w:numPr>
        <w:spacing w:before="120" w:after="120"/>
        <w:ind w:left="426" w:hanging="426"/>
        <w:contextualSpacing w:val="0"/>
        <w:jc w:val="both"/>
        <w:rPr>
          <w:rFonts w:cs="Arial"/>
        </w:rPr>
      </w:pPr>
      <w:r>
        <w:rPr>
          <w:rFonts w:cs="Arial"/>
        </w:rPr>
        <w:t>Odborné sociální poradenství</w:t>
      </w:r>
    </w:p>
    <w:p w14:paraId="01EEAC67" w14:textId="77777777" w:rsidR="00475554" w:rsidRDefault="00475554">
      <w:pPr>
        <w:spacing w:before="120" w:after="120"/>
        <w:jc w:val="both"/>
      </w:pPr>
    </w:p>
    <w:p w14:paraId="3C588CC3" w14:textId="10FDE8A3" w:rsidR="00475554" w:rsidRDefault="00157B87">
      <w:pPr>
        <w:spacing w:before="120" w:after="120"/>
        <w:jc w:val="both"/>
      </w:pPr>
      <w:r>
        <w:t xml:space="preserve">Odborné sociální poradenství (ambulantní a terénní forma) je, dle </w:t>
      </w:r>
      <w:r w:rsidR="00077C41">
        <w:t xml:space="preserve">§ 37 odst. 3 </w:t>
      </w:r>
      <w:r>
        <w:t xml:space="preserve">zákona </w:t>
      </w:r>
      <w:r w:rsidR="00077C41">
        <w:t>č. 108/2006 Sb.</w:t>
      </w:r>
      <w:r>
        <w:t xml:space="preserve"> poskytováno se zaměřením na potřeby jednotlivých okruhů sociálních skupin osob v občanských poradnách, manželských a rodinných poradnách, poradnách pro seniory, poradnách pro osoby se zdravotním postižením, poradnách pro oběti trestných činů a domácího násilí a ve speciálních lůžkových zdravotnických zařízeních hospicového typu.</w:t>
      </w:r>
    </w:p>
    <w:p w14:paraId="2C1CE82A" w14:textId="77777777" w:rsidR="00475554" w:rsidRDefault="00475554">
      <w:pPr>
        <w:spacing w:before="120" w:after="120"/>
        <w:jc w:val="both"/>
      </w:pPr>
    </w:p>
    <w:p w14:paraId="6C035D22" w14:textId="77777777" w:rsidR="00475554" w:rsidRDefault="00157B87">
      <w:pPr>
        <w:spacing w:before="120" w:after="120"/>
        <w:jc w:val="both"/>
        <w:rPr>
          <w:b/>
        </w:rPr>
      </w:pPr>
      <w:r>
        <w:rPr>
          <w:b/>
        </w:rPr>
        <w:t xml:space="preserve">Pro ambulantní a terénní služby sociální péče, sociální prevence a sociálního poradenství je jako výchozí jednotka pro stanovení obvyklého ročního </w:t>
      </w:r>
      <w:r>
        <w:rPr>
          <w:b/>
          <w:spacing w:val="-2"/>
        </w:rPr>
        <w:t xml:space="preserve">nákladu, obvyklého ročního výnosu a výše vyrovnávací platby zvolen průměrný přepočtený úvazek PP. </w:t>
      </w:r>
      <w:r>
        <w:rPr>
          <w:b/>
        </w:rPr>
        <w:t>Výjimku vzhledem k charakteru sociální služby tvoří ambulantní služba sociální prevence druhu noclehárny, u které je jako výchozí jednotka zvoleno jedno lůžko.</w:t>
      </w:r>
    </w:p>
    <w:p w14:paraId="5818E54D" w14:textId="77777777" w:rsidR="00475554" w:rsidRDefault="00475554">
      <w:pPr>
        <w:spacing w:before="120" w:after="120"/>
        <w:jc w:val="both"/>
        <w:rPr>
          <w:spacing w:val="-2"/>
        </w:rPr>
      </w:pPr>
    </w:p>
    <w:p w14:paraId="4E218FDE" w14:textId="77777777" w:rsidR="00475554" w:rsidRDefault="00157B87">
      <w:pPr>
        <w:pStyle w:val="Nadpis3"/>
        <w:spacing w:before="120" w:after="120"/>
        <w:ind w:left="709" w:hanging="709"/>
        <w:jc w:val="both"/>
        <w:rPr>
          <w:rFonts w:ascii="Calibri" w:hAnsi="Calibri"/>
          <w:sz w:val="24"/>
          <w:szCs w:val="24"/>
        </w:rPr>
      </w:pPr>
      <w:bookmarkStart w:id="87" w:name="_Ref387334505"/>
      <w:bookmarkStart w:id="88" w:name="_Ref421210417"/>
      <w:bookmarkStart w:id="89" w:name="_Ref421210445"/>
      <w:bookmarkStart w:id="90" w:name="_Toc230777923"/>
      <w:r>
        <w:rPr>
          <w:rFonts w:ascii="Calibri" w:hAnsi="Calibri"/>
          <w:sz w:val="24"/>
          <w:szCs w:val="24"/>
        </w:rPr>
        <w:t>Obvyklé náklady ambulantních a terénních sociálních služeb</w:t>
      </w:r>
      <w:bookmarkEnd w:id="87"/>
      <w:bookmarkEnd w:id="88"/>
      <w:bookmarkEnd w:id="89"/>
      <w:bookmarkEnd w:id="90"/>
    </w:p>
    <w:p w14:paraId="789909C4" w14:textId="77777777" w:rsidR="00475554" w:rsidRDefault="00475554">
      <w:pPr>
        <w:spacing w:before="120" w:after="120"/>
        <w:jc w:val="both"/>
      </w:pPr>
    </w:p>
    <w:p w14:paraId="2218A768" w14:textId="77777777" w:rsidR="00475554" w:rsidRDefault="00157B87">
      <w:pPr>
        <w:spacing w:before="120" w:after="120"/>
        <w:jc w:val="both"/>
      </w:pPr>
      <w:r>
        <w:t xml:space="preserve">Obvyklé náklady </w:t>
      </w:r>
      <w:r>
        <w:rPr>
          <w:b/>
          <w:bCs/>
        </w:rPr>
        <w:t>ambulantních a terénních služeb sociální péče, sociální prevence a sociálního poradenství</w:t>
      </w:r>
      <w:r>
        <w:t xml:space="preserve"> jsou kalkulovány dle principu uvedeného v bodě 4.2 tohoto dokumentu. </w:t>
      </w:r>
    </w:p>
    <w:p w14:paraId="26DAF65B" w14:textId="77777777" w:rsidR="00475554" w:rsidRDefault="00157B87">
      <w:pPr>
        <w:spacing w:before="120" w:after="120"/>
        <w:jc w:val="both"/>
      </w:pPr>
      <w:r>
        <w:t>Kapacita ambulantní a terénní sociální služby je pro účely stanovení vyrovnávací platby definována průměrným přepočteným úvazkem PP, v případě ambulantní sociální služby druhu noclehárny je definována počtem lůžek.</w:t>
      </w:r>
    </w:p>
    <w:p w14:paraId="3929D607" w14:textId="77777777" w:rsidR="00475554" w:rsidRDefault="00157B87">
      <w:pPr>
        <w:spacing w:before="120" w:after="120"/>
        <w:jc w:val="both"/>
      </w:pPr>
      <w:r>
        <w:t>Maximální kapacita každé konkrétní sociální služby je stanovena v Akčním plánu pro daný rok.</w:t>
      </w:r>
    </w:p>
    <w:p w14:paraId="1504A3A3" w14:textId="77777777" w:rsidR="00475554" w:rsidRDefault="00475554">
      <w:pPr>
        <w:spacing w:before="120" w:after="120"/>
        <w:jc w:val="both"/>
      </w:pPr>
    </w:p>
    <w:p w14:paraId="6E065690" w14:textId="77777777" w:rsidR="00475554" w:rsidRDefault="00157B87">
      <w:pPr>
        <w:pStyle w:val="Nadpis3"/>
        <w:spacing w:before="120" w:after="120"/>
        <w:ind w:left="709" w:hanging="709"/>
        <w:jc w:val="both"/>
        <w:rPr>
          <w:rFonts w:ascii="Calibri" w:hAnsi="Calibri"/>
          <w:sz w:val="24"/>
          <w:szCs w:val="24"/>
        </w:rPr>
      </w:pPr>
      <w:bookmarkStart w:id="91" w:name="_Toc381693845"/>
      <w:bookmarkStart w:id="92" w:name="_Toc381728892"/>
      <w:bookmarkStart w:id="93" w:name="_Toc381732698"/>
      <w:bookmarkStart w:id="94" w:name="_Ref381692791"/>
      <w:bookmarkStart w:id="95" w:name="_Toc386625359"/>
      <w:bookmarkStart w:id="96" w:name="_Toc385925706"/>
      <w:bookmarkStart w:id="97" w:name="_Toc230777924"/>
      <w:bookmarkEnd w:id="91"/>
      <w:bookmarkEnd w:id="92"/>
      <w:bookmarkEnd w:id="93"/>
      <w:r>
        <w:rPr>
          <w:rFonts w:ascii="Calibri" w:hAnsi="Calibri"/>
          <w:sz w:val="24"/>
          <w:szCs w:val="24"/>
        </w:rPr>
        <w:t>Obvyklé výnosy ambulantních a terénních sociálních služeb</w:t>
      </w:r>
      <w:bookmarkEnd w:id="94"/>
      <w:bookmarkEnd w:id="95"/>
      <w:bookmarkEnd w:id="96"/>
      <w:bookmarkEnd w:id="97"/>
    </w:p>
    <w:p w14:paraId="0433D4EB" w14:textId="77777777" w:rsidR="00475554" w:rsidRDefault="00475554">
      <w:pPr>
        <w:spacing w:before="120" w:after="120"/>
        <w:jc w:val="both"/>
      </w:pPr>
    </w:p>
    <w:p w14:paraId="537BDF90" w14:textId="77777777" w:rsidR="00475554" w:rsidRDefault="00157B87">
      <w:pPr>
        <w:pStyle w:val="Nadpis4"/>
        <w:spacing w:before="120" w:after="120"/>
        <w:jc w:val="both"/>
        <w:rPr>
          <w:rFonts w:asciiTheme="minorHAnsi" w:hAnsiTheme="minorHAnsi" w:cstheme="minorHAnsi"/>
        </w:rPr>
      </w:pPr>
      <w:bookmarkStart w:id="98" w:name="_Toc230777925"/>
      <w:r>
        <w:rPr>
          <w:rFonts w:asciiTheme="minorHAnsi" w:hAnsiTheme="minorHAnsi" w:cstheme="minorHAnsi"/>
        </w:rPr>
        <w:t>Obvyklé výnosy ambulantních služeb sociální péče</w:t>
      </w:r>
      <w:bookmarkEnd w:id="98"/>
    </w:p>
    <w:p w14:paraId="523C66E3" w14:textId="77777777" w:rsidR="00475554" w:rsidRDefault="00475554">
      <w:pPr>
        <w:spacing w:before="120" w:after="120"/>
        <w:jc w:val="both"/>
      </w:pPr>
    </w:p>
    <w:p w14:paraId="7243E88E" w14:textId="77777777" w:rsidR="00475554" w:rsidRDefault="00157B87">
      <w:pPr>
        <w:spacing w:before="120" w:after="240"/>
        <w:jc w:val="both"/>
      </w:pPr>
      <w:r>
        <w:t>Obvyklé výnosy ambulantních služeb sociální péče tvoří výnosy od uživatelů služeb a ostatní výnosy.</w:t>
      </w:r>
      <w:r w:rsidR="00465444" w:rsidRPr="00465444">
        <w:t xml:space="preserve"> </w:t>
      </w:r>
      <w:r w:rsidR="00465444">
        <w:t xml:space="preserve">Vypočtené obvyklé výnosy mohou být následně zreálněny na základě analýzy skutečných dat. Při korekci výsledné hodnoty se zohledňují také legislativní změny, zejména výše úhrad od uživatele při změně prováděcí vyhlášky.  </w:t>
      </w:r>
    </w:p>
    <w:p w14:paraId="5E0EDD71" w14:textId="77777777" w:rsidR="0082611C" w:rsidRDefault="0082611C">
      <w:pPr>
        <w:spacing w:before="120" w:after="240"/>
        <w:jc w:val="both"/>
      </w:pPr>
    </w:p>
    <w:p w14:paraId="323D847A" w14:textId="77777777" w:rsidR="00475554" w:rsidRDefault="00157B87">
      <w:pPr>
        <w:pStyle w:val="Odstavecseseznamem"/>
        <w:numPr>
          <w:ilvl w:val="0"/>
          <w:numId w:val="9"/>
        </w:numPr>
        <w:spacing w:before="120" w:after="120"/>
        <w:ind w:left="426" w:hanging="426"/>
        <w:contextualSpacing w:val="0"/>
        <w:jc w:val="both"/>
        <w:rPr>
          <w:b/>
        </w:rPr>
      </w:pPr>
      <w:r>
        <w:rPr>
          <w:b/>
        </w:rPr>
        <w:t>Výnosy od uživatelů ambulantních služeb sociální péče = V</w:t>
      </w:r>
      <w:r>
        <w:rPr>
          <w:b/>
          <w:vertAlign w:val="subscript"/>
        </w:rPr>
        <w:t xml:space="preserve">UA  </w:t>
      </w:r>
    </w:p>
    <w:p w14:paraId="7D0FFD94" w14:textId="77777777" w:rsidR="00475554" w:rsidRDefault="00157B87">
      <w:pPr>
        <w:spacing w:before="120" w:after="120"/>
        <w:ind w:left="425"/>
        <w:jc w:val="both"/>
      </w:pPr>
      <w:r>
        <w:lastRenderedPageBreak/>
        <w:t>Výnosy od uživatelů ambulantních služeb jsou modelovány na stanovenou jednotku sociální služby dle následujících zásad:</w:t>
      </w:r>
    </w:p>
    <w:p w14:paraId="69801EFC" w14:textId="77777777" w:rsidR="00475554" w:rsidRDefault="00157B87">
      <w:pPr>
        <w:spacing w:before="120" w:after="120"/>
        <w:ind w:left="426"/>
        <w:jc w:val="both"/>
        <w:rPr>
          <w:b/>
        </w:rPr>
      </w:pPr>
      <w:r>
        <w:rPr>
          <w:b/>
        </w:rPr>
        <w:t>Východiska:</w:t>
      </w:r>
    </w:p>
    <w:p w14:paraId="73318C13" w14:textId="77777777" w:rsidR="00475554" w:rsidRDefault="00157B87">
      <w:pPr>
        <w:pStyle w:val="Odstavecseseznamem"/>
        <w:numPr>
          <w:ilvl w:val="0"/>
          <w:numId w:val="5"/>
        </w:numPr>
        <w:spacing w:before="120" w:after="120"/>
        <w:ind w:left="851" w:hanging="425"/>
        <w:contextualSpacing w:val="0"/>
        <w:jc w:val="both"/>
        <w:rPr>
          <w:rFonts w:cs="Arial"/>
          <w:spacing w:val="-2"/>
        </w:rPr>
      </w:pPr>
      <w:r>
        <w:rPr>
          <w:rFonts w:cs="Arial"/>
        </w:rPr>
        <w:t xml:space="preserve">Minimální počet hodin v přímé péči na průměrný přepočtený úvazek PP/den, </w:t>
      </w:r>
      <w:r w:rsidR="00ED4A00">
        <w:rPr>
          <w:rFonts w:cs="Arial"/>
          <w:spacing w:val="-2"/>
        </w:rPr>
        <w:t>stanovený jako indikátor pro daný druh sociální služby</w:t>
      </w:r>
      <w:r>
        <w:rPr>
          <w:rFonts w:cs="Arial"/>
          <w:spacing w:val="-2"/>
        </w:rPr>
        <w:t xml:space="preserve">= </w:t>
      </w:r>
      <w:r>
        <w:rPr>
          <w:rFonts w:cs="Arial"/>
          <w:b/>
          <w:spacing w:val="-2"/>
        </w:rPr>
        <w:t>H</w:t>
      </w:r>
      <w:r>
        <w:rPr>
          <w:rFonts w:cs="Arial"/>
          <w:b/>
          <w:spacing w:val="-2"/>
          <w:vertAlign w:val="subscript"/>
        </w:rPr>
        <w:t>PP</w:t>
      </w:r>
      <w:r>
        <w:rPr>
          <w:rFonts w:cs="Arial"/>
          <w:spacing w:val="-2"/>
        </w:rPr>
        <w:t>.</w:t>
      </w:r>
    </w:p>
    <w:p w14:paraId="4ED7AFA2" w14:textId="77777777" w:rsidR="00475554" w:rsidRDefault="00157B87">
      <w:pPr>
        <w:pStyle w:val="Odstavecseseznamem"/>
        <w:numPr>
          <w:ilvl w:val="0"/>
          <w:numId w:val="5"/>
        </w:numPr>
        <w:spacing w:before="120" w:after="120"/>
        <w:ind w:left="851" w:hanging="425"/>
        <w:contextualSpacing w:val="0"/>
        <w:jc w:val="both"/>
        <w:rPr>
          <w:rFonts w:cs="Arial"/>
        </w:rPr>
      </w:pPr>
      <w:r>
        <w:rPr>
          <w:rFonts w:cs="Arial"/>
        </w:rPr>
        <w:t xml:space="preserve">Maximální úhrada za hodinu poskytnuté péče stanovené </w:t>
      </w:r>
      <w:r>
        <w:t>prováděcí vyhláškou</w:t>
      </w:r>
      <w:r>
        <w:rPr>
          <w:rFonts w:cs="Arial"/>
        </w:rPr>
        <w:t xml:space="preserve">, pro daný druh sociální služby = </w:t>
      </w:r>
      <w:r>
        <w:rPr>
          <w:rFonts w:cs="Arial"/>
          <w:b/>
        </w:rPr>
        <w:t>S</w:t>
      </w:r>
      <w:r>
        <w:rPr>
          <w:rFonts w:cs="Arial"/>
        </w:rPr>
        <w:t>.</w:t>
      </w:r>
    </w:p>
    <w:p w14:paraId="4379C812" w14:textId="77777777" w:rsidR="00475554" w:rsidRDefault="00157B87">
      <w:pPr>
        <w:pStyle w:val="Odstavecseseznamem"/>
        <w:numPr>
          <w:ilvl w:val="0"/>
          <w:numId w:val="5"/>
        </w:numPr>
        <w:spacing w:before="120" w:after="120"/>
        <w:ind w:left="850" w:hanging="425"/>
        <w:contextualSpacing w:val="0"/>
        <w:jc w:val="both"/>
        <w:rPr>
          <w:spacing w:val="-2"/>
        </w:rPr>
      </w:pPr>
      <w:r>
        <w:rPr>
          <w:spacing w:val="-2"/>
        </w:rPr>
        <w:t xml:space="preserve">Počet skutečně odpracovaných dnů za rok pracovníkem v přímé péči dle Metodiky KISSoS = </w:t>
      </w:r>
      <w:r>
        <w:rPr>
          <w:b/>
          <w:spacing w:val="-2"/>
        </w:rPr>
        <w:t>D</w:t>
      </w:r>
      <w:r>
        <w:rPr>
          <w:spacing w:val="-2"/>
        </w:rPr>
        <w:t>.</w:t>
      </w:r>
    </w:p>
    <w:tbl>
      <w:tblPr>
        <w:tblStyle w:val="Mkatabulky"/>
        <w:tblW w:w="8646" w:type="dxa"/>
        <w:tblInd w:w="421" w:type="dxa"/>
        <w:tblLook w:val="04A0" w:firstRow="1" w:lastRow="0" w:firstColumn="1" w:lastColumn="0" w:noHBand="0" w:noVBand="1"/>
      </w:tblPr>
      <w:tblGrid>
        <w:gridCol w:w="8646"/>
      </w:tblGrid>
      <w:tr w:rsidR="00475554" w14:paraId="23E83D36" w14:textId="77777777">
        <w:trPr>
          <w:trHeight w:val="781"/>
        </w:trPr>
        <w:tc>
          <w:tcPr>
            <w:tcW w:w="8646" w:type="dxa"/>
          </w:tcPr>
          <w:p w14:paraId="31FD3BCC" w14:textId="77777777" w:rsidR="00475554" w:rsidRDefault="00157B87">
            <w:pPr>
              <w:spacing w:before="60" w:after="60" w:line="276" w:lineRule="auto"/>
              <w:ind w:left="34"/>
              <w:jc w:val="both"/>
              <w:rPr>
                <w:rFonts w:cs="Arial"/>
                <w:b/>
                <w:i/>
              </w:rPr>
            </w:pPr>
            <w:r>
              <w:rPr>
                <w:rFonts w:cs="Arial"/>
                <w:b/>
                <w:i/>
              </w:rPr>
              <w:t>Vzorec stanovení obvyklého ročního výnosu od uživatelů na jednotku sociální služby:</w:t>
            </w:r>
          </w:p>
          <w:p w14:paraId="5AEBD21B" w14:textId="77777777" w:rsidR="00475554" w:rsidRDefault="00B67ACF">
            <w:pPr>
              <w:spacing w:before="60" w:after="60" w:line="276" w:lineRule="auto"/>
              <w:ind w:left="-250"/>
              <w:jc w:val="both"/>
              <w:rPr>
                <w:rFonts w:cs="Arial"/>
                <w:b/>
                <w:i/>
              </w:rPr>
            </w:pPr>
            <m:oMathPara>
              <m:oMath>
                <m:sSub>
                  <m:sSubPr>
                    <m:ctrlPr>
                      <w:rPr>
                        <w:rFonts w:ascii="Cambria Math" w:hAnsi="Cambria Math" w:cs="Arial"/>
                        <w:b/>
                        <w:i/>
                      </w:rPr>
                    </m:ctrlPr>
                  </m:sSubPr>
                  <m:e>
                    <m:r>
                      <m:rPr>
                        <m:sty m:val="bi"/>
                      </m:rPr>
                      <w:rPr>
                        <w:rFonts w:ascii="Cambria Math" w:hAnsi="Cambria Math" w:cs="Arial"/>
                      </w:rPr>
                      <m:t>V</m:t>
                    </m:r>
                  </m:e>
                  <m:sub>
                    <m:r>
                      <m:rPr>
                        <m:sty m:val="bi"/>
                      </m:rPr>
                      <w:rPr>
                        <w:rFonts w:ascii="Cambria Math" w:hAnsi="Cambria Math" w:cs="Arial"/>
                      </w:rPr>
                      <m:t>UA</m:t>
                    </m:r>
                  </m:sub>
                </m:sSub>
                <m:r>
                  <m:rPr>
                    <m:sty m:val="bi"/>
                  </m:rPr>
                  <w:rPr>
                    <w:rFonts w:ascii="Cambria Math" w:hAnsi="Cambria Math" w:cs="Arial"/>
                  </w:rPr>
                  <m:t>=</m:t>
                </m:r>
                <m:sSub>
                  <m:sSubPr>
                    <m:ctrlPr>
                      <w:rPr>
                        <w:rFonts w:ascii="Cambria Math" w:hAnsi="Cambria Math" w:cs="Arial"/>
                        <w:b/>
                        <w:i/>
                      </w:rPr>
                    </m:ctrlPr>
                  </m:sSubPr>
                  <m:e>
                    <m:r>
                      <m:rPr>
                        <m:sty m:val="bi"/>
                      </m:rPr>
                      <w:rPr>
                        <w:rFonts w:ascii="Cambria Math" w:hAnsi="Cambria Math" w:cs="Arial"/>
                      </w:rPr>
                      <m:t>H</m:t>
                    </m:r>
                  </m:e>
                  <m:sub>
                    <m:r>
                      <m:rPr>
                        <m:sty m:val="bi"/>
                      </m:rPr>
                      <w:rPr>
                        <w:rFonts w:ascii="Cambria Math" w:hAnsi="Cambria Math" w:cs="Arial"/>
                      </w:rPr>
                      <m:t>PP</m:t>
                    </m:r>
                  </m:sub>
                </m:sSub>
                <m:r>
                  <m:rPr>
                    <m:sty m:val="bi"/>
                  </m:rPr>
                  <w:rPr>
                    <w:rFonts w:ascii="Cambria Math" w:hAnsi="Cambria Math" w:cs="Arial"/>
                  </w:rPr>
                  <m:t>×</m:t>
                </m:r>
                <m:r>
                  <m:rPr>
                    <m:sty m:val="bi"/>
                  </m:rPr>
                  <w:rPr>
                    <w:rFonts w:ascii="Cambria Math" w:hAnsi="Cambria Math" w:cs="Arial"/>
                  </w:rPr>
                  <m:t>S</m:t>
                </m:r>
                <m:r>
                  <m:rPr>
                    <m:sty m:val="bi"/>
                  </m:rPr>
                  <w:rPr>
                    <w:rFonts w:ascii="Cambria Math" w:hAnsi="Cambria Math" w:cs="Arial"/>
                  </w:rPr>
                  <m:t>×</m:t>
                </m:r>
                <m:r>
                  <m:rPr>
                    <m:sty m:val="bi"/>
                  </m:rPr>
                  <w:rPr>
                    <w:rFonts w:ascii="Cambria Math" w:hAnsi="Cambria Math" w:cs="Arial"/>
                  </w:rPr>
                  <m:t>D</m:t>
                </m:r>
              </m:oMath>
            </m:oMathPara>
          </w:p>
        </w:tc>
      </w:tr>
    </w:tbl>
    <w:p w14:paraId="1F810D92" w14:textId="77777777" w:rsidR="00475554" w:rsidRDefault="00475554">
      <w:pPr>
        <w:spacing w:before="120" w:after="120"/>
        <w:jc w:val="both"/>
        <w:rPr>
          <w:b/>
        </w:rPr>
      </w:pPr>
    </w:p>
    <w:p w14:paraId="34F2626C" w14:textId="77777777" w:rsidR="00475554" w:rsidRDefault="00157B87">
      <w:pPr>
        <w:pStyle w:val="Odstavecseseznamem"/>
        <w:numPr>
          <w:ilvl w:val="0"/>
          <w:numId w:val="9"/>
        </w:numPr>
        <w:spacing w:before="120" w:after="120"/>
        <w:ind w:left="425" w:hanging="425"/>
        <w:contextualSpacing w:val="0"/>
        <w:jc w:val="both"/>
        <w:rPr>
          <w:b/>
        </w:rPr>
      </w:pPr>
      <w:r>
        <w:rPr>
          <w:rFonts w:cs="Arial"/>
          <w:b/>
        </w:rPr>
        <w:t xml:space="preserve">Ostatní výnosy </w:t>
      </w:r>
      <w:r>
        <w:rPr>
          <w:b/>
        </w:rPr>
        <w:t>= V</w:t>
      </w:r>
      <w:r>
        <w:rPr>
          <w:b/>
          <w:vertAlign w:val="subscript"/>
        </w:rPr>
        <w:t>O</w:t>
      </w:r>
    </w:p>
    <w:p w14:paraId="51B68E8B" w14:textId="5C37DA50" w:rsidR="00475554" w:rsidRDefault="00157B87">
      <w:pPr>
        <w:pStyle w:val="Odstavecseseznamem"/>
        <w:spacing w:before="120" w:after="120"/>
        <w:ind w:left="426"/>
        <w:contextualSpacing w:val="0"/>
        <w:jc w:val="both"/>
        <w:rPr>
          <w:spacing w:val="-6"/>
        </w:rPr>
      </w:pPr>
      <w:r>
        <w:rPr>
          <w:spacing w:val="-6"/>
        </w:rPr>
        <w:t>Ostatní výnosy zahrnují dary, výnosy z Nadací a nadačních fondů, zisky z let minulých apod.</w:t>
      </w:r>
    </w:p>
    <w:p w14:paraId="63874502" w14:textId="77777777" w:rsidR="00475554" w:rsidRDefault="00157B87">
      <w:pPr>
        <w:pStyle w:val="Odstavecseseznamem"/>
        <w:spacing w:before="120" w:after="120"/>
        <w:ind w:left="425"/>
        <w:contextualSpacing w:val="0"/>
        <w:jc w:val="both"/>
        <w:rPr>
          <w:rFonts w:cs="Arial"/>
        </w:rPr>
      </w:pPr>
      <w:r>
        <w:rPr>
          <w:rFonts w:cs="Arial"/>
        </w:rPr>
        <w:t>Ostatní výnosy jsou modelovány na základě analýzy zdrojů sociálních služeb na stanovenou jednotku sociální služby.</w:t>
      </w:r>
    </w:p>
    <w:p w14:paraId="576F47C0" w14:textId="77777777" w:rsidR="00475554" w:rsidRDefault="00475554">
      <w:pPr>
        <w:spacing w:before="120" w:after="120"/>
        <w:jc w:val="both"/>
      </w:pPr>
    </w:p>
    <w:p w14:paraId="63206B69" w14:textId="77777777" w:rsidR="00475554" w:rsidRDefault="00157B87">
      <w:pPr>
        <w:spacing w:before="120" w:after="120"/>
        <w:jc w:val="both"/>
        <w:rPr>
          <w:b/>
        </w:rPr>
      </w:pPr>
      <w:r>
        <w:rPr>
          <w:b/>
        </w:rPr>
        <w:t>Obvyklé roční výnosy ambulantních služeb sociální péče se stanoví jako součet jednotlivých výnosů sociální služby na stanovenou jednotku násobeno celkovým počtem jednotek sociální služby dle Akčního plánu pro daný rok.</w:t>
      </w:r>
    </w:p>
    <w:p w14:paraId="6DC5931A" w14:textId="77777777" w:rsidR="00475554" w:rsidRDefault="00475554">
      <w:pPr>
        <w:spacing w:before="120" w:after="120"/>
        <w:jc w:val="both"/>
      </w:pPr>
    </w:p>
    <w:p w14:paraId="4FA9453B" w14:textId="7717A245" w:rsidR="00475554" w:rsidRDefault="00157B87">
      <w:pPr>
        <w:pStyle w:val="Titulek"/>
        <w:spacing w:before="120" w:after="120" w:line="276" w:lineRule="auto"/>
        <w:jc w:val="both"/>
        <w:rPr>
          <w:b w:val="0"/>
          <w:color w:val="000000" w:themeColor="text1"/>
          <w:spacing w:val="-4"/>
          <w:sz w:val="22"/>
          <w:szCs w:val="22"/>
        </w:rPr>
      </w:pPr>
      <w:bookmarkStart w:id="99" w:name="_Toc230769885"/>
      <w:r>
        <w:rPr>
          <w:color w:val="000000" w:themeColor="text1"/>
          <w:sz w:val="22"/>
          <w:szCs w:val="22"/>
        </w:rPr>
        <w:t>Tabulka č. </w:t>
      </w:r>
      <w:r>
        <w:rPr>
          <w:color w:val="000000" w:themeColor="text1"/>
          <w:sz w:val="22"/>
          <w:szCs w:val="22"/>
        </w:rPr>
        <w:fldChar w:fldCharType="begin"/>
      </w:r>
      <w:r>
        <w:rPr>
          <w:color w:val="000000" w:themeColor="text1"/>
          <w:sz w:val="22"/>
          <w:szCs w:val="22"/>
        </w:rPr>
        <w:instrText xml:space="preserve"> SEQ Tabulka_č. \* ARABIC </w:instrText>
      </w:r>
      <w:r>
        <w:rPr>
          <w:color w:val="000000" w:themeColor="text1"/>
          <w:sz w:val="22"/>
          <w:szCs w:val="22"/>
        </w:rPr>
        <w:fldChar w:fldCharType="separate"/>
      </w:r>
      <w:r w:rsidR="000A1D98">
        <w:rPr>
          <w:noProof/>
          <w:color w:val="000000" w:themeColor="text1"/>
          <w:sz w:val="22"/>
          <w:szCs w:val="22"/>
        </w:rPr>
        <w:t>4</w:t>
      </w:r>
      <w:r>
        <w:rPr>
          <w:color w:val="000000" w:themeColor="text1"/>
          <w:sz w:val="22"/>
          <w:szCs w:val="22"/>
        </w:rPr>
        <w:fldChar w:fldCharType="end"/>
      </w:r>
      <w:r>
        <w:rPr>
          <w:b w:val="0"/>
          <w:color w:val="000000" w:themeColor="text1"/>
          <w:spacing w:val="-4"/>
          <w:sz w:val="22"/>
          <w:szCs w:val="22"/>
        </w:rPr>
        <w:t>: Znázornění výpočtu obvyklých výnosů pro konkrétní druhy ambulantních služeb sociální péče</w:t>
      </w:r>
      <w:bookmarkEnd w:id="99"/>
    </w:p>
    <w:tbl>
      <w:tblPr>
        <w:tblW w:w="9070" w:type="dxa"/>
        <w:jc w:val="center"/>
        <w:tblLayout w:type="fixed"/>
        <w:tblCellMar>
          <w:left w:w="70" w:type="dxa"/>
          <w:right w:w="70" w:type="dxa"/>
        </w:tblCellMar>
        <w:tblLook w:val="04A0" w:firstRow="1" w:lastRow="0" w:firstColumn="1" w:lastColumn="0" w:noHBand="0" w:noVBand="1"/>
      </w:tblPr>
      <w:tblGrid>
        <w:gridCol w:w="4535"/>
        <w:gridCol w:w="4535"/>
      </w:tblGrid>
      <w:tr w:rsidR="00475554" w14:paraId="56AC66C4" w14:textId="77777777">
        <w:trPr>
          <w:cantSplit/>
          <w:trHeight w:val="454"/>
          <w:tblHeader/>
          <w:jc w:val="center"/>
        </w:trPr>
        <w:tc>
          <w:tcPr>
            <w:tcW w:w="453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2BD1BAC8"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Druh sociální služby</w:t>
            </w:r>
          </w:p>
        </w:tc>
        <w:tc>
          <w:tcPr>
            <w:tcW w:w="4535"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27F75609"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Vzorec</w:t>
            </w:r>
          </w:p>
        </w:tc>
      </w:tr>
      <w:tr w:rsidR="00475554" w14:paraId="43FBFDA3" w14:textId="77777777">
        <w:trPr>
          <w:cantSplit/>
          <w:trHeight w:val="454"/>
          <w:jc w:val="center"/>
        </w:trPr>
        <w:tc>
          <w:tcPr>
            <w:tcW w:w="4535" w:type="dxa"/>
            <w:tcBorders>
              <w:top w:val="single" w:sz="4" w:space="0" w:color="auto"/>
              <w:left w:val="single" w:sz="4" w:space="0" w:color="auto"/>
              <w:bottom w:val="single" w:sz="4" w:space="0" w:color="auto"/>
              <w:right w:val="single" w:sz="4" w:space="0" w:color="auto"/>
            </w:tcBorders>
            <w:noWrap/>
            <w:vAlign w:val="center"/>
          </w:tcPr>
          <w:p w14:paraId="2EEF62B1"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Centra denních služeb</w:t>
            </w:r>
          </w:p>
          <w:p w14:paraId="30A9F2F3"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Denní stacionáře</w:t>
            </w:r>
          </w:p>
          <w:p w14:paraId="02DA152B"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Odlehčovací služby</w:t>
            </w:r>
          </w:p>
          <w:p w14:paraId="036AD1A4"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Pečovatelská služba</w:t>
            </w:r>
          </w:p>
          <w:p w14:paraId="33F92AD7"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Průvodcovské a předčitatelské služby</w:t>
            </w:r>
          </w:p>
        </w:tc>
        <w:tc>
          <w:tcPr>
            <w:tcW w:w="4535" w:type="dxa"/>
            <w:tcBorders>
              <w:top w:val="single" w:sz="4" w:space="0" w:color="auto"/>
              <w:left w:val="nil"/>
              <w:bottom w:val="single" w:sz="4" w:space="0" w:color="auto"/>
              <w:right w:val="single" w:sz="4" w:space="0" w:color="auto"/>
            </w:tcBorders>
            <w:noWrap/>
            <w:vAlign w:val="center"/>
          </w:tcPr>
          <w:p w14:paraId="78ED55A8" w14:textId="77777777" w:rsidR="00475554" w:rsidRDefault="00157B87">
            <w:pPr>
              <w:spacing w:before="60" w:after="60" w:line="240" w:lineRule="auto"/>
              <w:rPr>
                <w:rFonts w:ascii="Calibri" w:hAnsi="Calibri"/>
                <w:b/>
                <w:color w:val="000000"/>
                <w:sz w:val="20"/>
                <w:szCs w:val="20"/>
              </w:rPr>
            </w:pPr>
            <w:r>
              <w:rPr>
                <w:rFonts w:ascii="Calibri" w:hAnsi="Calibri"/>
                <w:b/>
                <w:color w:val="000000"/>
                <w:sz w:val="20"/>
                <w:szCs w:val="20"/>
              </w:rPr>
              <w:t>(</w:t>
            </w:r>
            <w:r>
              <w:rPr>
                <w:rFonts w:cs="Arial"/>
                <w:b/>
                <w:sz w:val="20"/>
                <w:szCs w:val="20"/>
              </w:rPr>
              <w:t>V</w:t>
            </w:r>
            <w:r>
              <w:rPr>
                <w:rFonts w:cs="Arial"/>
                <w:b/>
                <w:sz w:val="20"/>
                <w:szCs w:val="20"/>
                <w:vertAlign w:val="subscript"/>
              </w:rPr>
              <w:t xml:space="preserve">UA </w:t>
            </w:r>
            <w:r>
              <w:rPr>
                <w:rFonts w:cs="Arial"/>
                <w:b/>
                <w:sz w:val="20"/>
                <w:szCs w:val="20"/>
              </w:rPr>
              <w:t>+ V</w:t>
            </w:r>
            <w:r>
              <w:rPr>
                <w:rFonts w:cs="Arial"/>
                <w:b/>
                <w:sz w:val="20"/>
                <w:szCs w:val="20"/>
                <w:vertAlign w:val="subscript"/>
              </w:rPr>
              <w:t>O</w:t>
            </w:r>
            <w:r>
              <w:rPr>
                <w:rFonts w:ascii="Calibri" w:hAnsi="Calibri"/>
                <w:b/>
                <w:color w:val="000000"/>
                <w:sz w:val="20"/>
                <w:szCs w:val="20"/>
              </w:rPr>
              <w:t>) x celkový počet jednotek služby dle AP</w:t>
            </w:r>
          </w:p>
        </w:tc>
      </w:tr>
    </w:tbl>
    <w:p w14:paraId="353E3227" w14:textId="77777777" w:rsidR="00475554" w:rsidRDefault="00475554">
      <w:pPr>
        <w:pStyle w:val="Odstavecseseznamem"/>
        <w:spacing w:before="120" w:after="120"/>
        <w:ind w:left="0"/>
        <w:contextualSpacing w:val="0"/>
        <w:jc w:val="both"/>
        <w:rPr>
          <w:b/>
        </w:rPr>
      </w:pPr>
    </w:p>
    <w:p w14:paraId="065519CF" w14:textId="77777777" w:rsidR="009621F0" w:rsidRDefault="009621F0">
      <w:pPr>
        <w:pStyle w:val="Odstavecseseznamem"/>
        <w:spacing w:before="120" w:after="120"/>
        <w:ind w:left="0"/>
        <w:contextualSpacing w:val="0"/>
        <w:jc w:val="both"/>
        <w:rPr>
          <w:b/>
        </w:rPr>
      </w:pPr>
    </w:p>
    <w:p w14:paraId="2E16D723" w14:textId="77777777" w:rsidR="00475554" w:rsidRDefault="00157B87">
      <w:pPr>
        <w:pStyle w:val="Nadpis4"/>
        <w:spacing w:before="120" w:after="120"/>
        <w:jc w:val="both"/>
        <w:rPr>
          <w:rFonts w:asciiTheme="minorHAnsi" w:hAnsiTheme="minorHAnsi" w:cstheme="minorHAnsi"/>
        </w:rPr>
      </w:pPr>
      <w:bookmarkStart w:id="100" w:name="_Toc230777926"/>
      <w:r>
        <w:rPr>
          <w:rFonts w:asciiTheme="minorHAnsi" w:hAnsiTheme="minorHAnsi" w:cstheme="minorHAnsi"/>
        </w:rPr>
        <w:t>Obvyklé výnosy terénních služeb sociální péče</w:t>
      </w:r>
      <w:bookmarkEnd w:id="100"/>
    </w:p>
    <w:p w14:paraId="3D4832CE" w14:textId="77777777" w:rsidR="00475554" w:rsidRDefault="00475554">
      <w:pPr>
        <w:spacing w:before="120" w:after="120"/>
        <w:jc w:val="both"/>
      </w:pPr>
    </w:p>
    <w:p w14:paraId="15D1E18E" w14:textId="77777777" w:rsidR="00475554" w:rsidRDefault="00157B87">
      <w:pPr>
        <w:spacing w:before="120" w:after="240"/>
        <w:jc w:val="both"/>
      </w:pPr>
      <w:r>
        <w:t>Obvyklé výnosy terénních služeb sociální péče tvoří výnosy od uživatelů služeb a ostatní výnosy.</w:t>
      </w:r>
      <w:r w:rsidR="00465444" w:rsidRPr="00465444">
        <w:t xml:space="preserve"> </w:t>
      </w:r>
      <w:r w:rsidR="00465444">
        <w:t xml:space="preserve">Vypočtené obvyklé výnosy mohou být následně zreálněny na základě analýzy skutečných dat. Při korekci výsledné hodnoty se zohledňují také legislativní změny, zejména výše úhrad od uživatele při změně prováděcí vyhlášky.  </w:t>
      </w:r>
    </w:p>
    <w:p w14:paraId="2FC6BA76" w14:textId="77777777" w:rsidR="00475554" w:rsidRDefault="00157B87">
      <w:pPr>
        <w:pStyle w:val="Odstavecseseznamem"/>
        <w:numPr>
          <w:ilvl w:val="0"/>
          <w:numId w:val="10"/>
        </w:numPr>
        <w:spacing w:before="120" w:after="120"/>
        <w:ind w:left="426" w:hanging="426"/>
        <w:contextualSpacing w:val="0"/>
        <w:jc w:val="both"/>
        <w:rPr>
          <w:b/>
        </w:rPr>
      </w:pPr>
      <w:r>
        <w:rPr>
          <w:b/>
        </w:rPr>
        <w:t>Výnosy od uživatelů terénních služeb sociální péče</w:t>
      </w:r>
    </w:p>
    <w:p w14:paraId="75EC0B58" w14:textId="77777777" w:rsidR="00475554" w:rsidRDefault="00157B87">
      <w:pPr>
        <w:pStyle w:val="Odstavecseseznamem"/>
        <w:spacing w:before="120" w:after="120"/>
        <w:ind w:left="425"/>
        <w:contextualSpacing w:val="0"/>
        <w:jc w:val="both"/>
      </w:pPr>
      <w:r>
        <w:lastRenderedPageBreak/>
        <w:t>Modelace výnosů od uživatelů je samostatně zpracovávána pro pečovatelskou službu. Důvod pro samostatné zpracování je ve specifické struktuře úhrad za základní úkony, které jsou dle prováděcí vyhlášky koncipovány v odlišné struktuře, než je tomu u ostatních druhů terénních služeb sociální péče.</w:t>
      </w:r>
    </w:p>
    <w:p w14:paraId="7B7C1DEF" w14:textId="77777777" w:rsidR="00475554" w:rsidRDefault="00157B87">
      <w:pPr>
        <w:pStyle w:val="Odstavecseseznamem"/>
        <w:numPr>
          <w:ilvl w:val="1"/>
          <w:numId w:val="10"/>
        </w:numPr>
        <w:spacing w:before="120" w:after="120"/>
        <w:ind w:left="851" w:hanging="425"/>
        <w:contextualSpacing w:val="0"/>
        <w:jc w:val="both"/>
        <w:rPr>
          <w:rFonts w:cs="Arial"/>
        </w:rPr>
      </w:pPr>
      <w:r>
        <w:rPr>
          <w:rFonts w:cs="Arial"/>
          <w:b/>
        </w:rPr>
        <w:t xml:space="preserve">Výnosy na jednotku sociální služby/rok za základní činnosti péče pečovatelské služby = </w:t>
      </w:r>
      <w:r>
        <w:rPr>
          <w:b/>
        </w:rPr>
        <w:t>V</w:t>
      </w:r>
      <w:r>
        <w:rPr>
          <w:b/>
          <w:vertAlign w:val="subscript"/>
        </w:rPr>
        <w:t>UTP</w:t>
      </w:r>
    </w:p>
    <w:p w14:paraId="63955A79" w14:textId="77777777" w:rsidR="00475554" w:rsidRDefault="00157B87">
      <w:pPr>
        <w:spacing w:before="120" w:after="120"/>
        <w:ind w:left="851"/>
        <w:jc w:val="both"/>
        <w:rPr>
          <w:b/>
        </w:rPr>
      </w:pPr>
      <w:r>
        <w:rPr>
          <w:b/>
        </w:rPr>
        <w:t>Východiska:</w:t>
      </w:r>
    </w:p>
    <w:p w14:paraId="73BCCF83" w14:textId="77777777" w:rsidR="00ED4A00" w:rsidRPr="00992F39" w:rsidRDefault="00ED4A00" w:rsidP="00992F39">
      <w:pPr>
        <w:pStyle w:val="Odstavecseseznamem"/>
        <w:numPr>
          <w:ilvl w:val="0"/>
          <w:numId w:val="8"/>
        </w:numPr>
        <w:spacing w:before="120" w:after="120"/>
        <w:ind w:left="1276" w:hanging="425"/>
        <w:contextualSpacing w:val="0"/>
        <w:jc w:val="both"/>
        <w:rPr>
          <w:rFonts w:cs="Arial"/>
        </w:rPr>
      </w:pPr>
      <w:r>
        <w:rPr>
          <w:rFonts w:cs="Arial"/>
        </w:rPr>
        <w:t xml:space="preserve">Minimální počet hodin v přímé péči na průměrný přepočtený úvazek PP/den, </w:t>
      </w:r>
      <w:r w:rsidRPr="00992F39">
        <w:rPr>
          <w:rFonts w:cs="Arial"/>
        </w:rPr>
        <w:t>stanovený jako indikátor pro daný druh sociální služby= HPP.</w:t>
      </w:r>
    </w:p>
    <w:p w14:paraId="2D71C296" w14:textId="77777777" w:rsidR="00475554" w:rsidRDefault="00157B87">
      <w:pPr>
        <w:pStyle w:val="Odstavecseseznamem"/>
        <w:numPr>
          <w:ilvl w:val="0"/>
          <w:numId w:val="8"/>
        </w:numPr>
        <w:spacing w:before="120" w:after="120"/>
        <w:ind w:left="1276" w:hanging="425"/>
        <w:contextualSpacing w:val="0"/>
        <w:jc w:val="both"/>
        <w:rPr>
          <w:rFonts w:cs="Arial"/>
        </w:rPr>
      </w:pPr>
      <w:r>
        <w:rPr>
          <w:rFonts w:cs="Arial"/>
        </w:rPr>
        <w:t xml:space="preserve">Maximální úhrada za hodinu poskytnuté péče stanovená </w:t>
      </w:r>
      <w:r>
        <w:t>prováděcí vyhláškou</w:t>
      </w:r>
      <w:r>
        <w:rPr>
          <w:rFonts w:cs="Arial"/>
        </w:rPr>
        <w:t xml:space="preserve">, pro daný druh sociální služby = </w:t>
      </w:r>
      <w:r>
        <w:rPr>
          <w:rFonts w:cs="Arial"/>
          <w:b/>
        </w:rPr>
        <w:t>S</w:t>
      </w:r>
      <w:r>
        <w:rPr>
          <w:rFonts w:cs="Arial"/>
        </w:rPr>
        <w:t>.</w:t>
      </w:r>
    </w:p>
    <w:p w14:paraId="0042C0D9" w14:textId="77777777" w:rsidR="00475554" w:rsidRDefault="00157B87">
      <w:pPr>
        <w:pStyle w:val="Odstavecseseznamem"/>
        <w:numPr>
          <w:ilvl w:val="0"/>
          <w:numId w:val="8"/>
        </w:numPr>
        <w:spacing w:before="120" w:after="120"/>
        <w:ind w:left="1276" w:hanging="425"/>
        <w:contextualSpacing w:val="0"/>
        <w:jc w:val="both"/>
      </w:pPr>
      <w:r>
        <w:t xml:space="preserve">Počet skutečně odpracovaných dnů za rok pracovníkem v přímé péči dle Metodiky KISSoS = </w:t>
      </w:r>
      <w:r>
        <w:rPr>
          <w:b/>
        </w:rPr>
        <w:t>D</w:t>
      </w:r>
      <w:r>
        <w:t>.</w:t>
      </w:r>
    </w:p>
    <w:p w14:paraId="1BECFBD5" w14:textId="77777777" w:rsidR="00475554" w:rsidRDefault="00157B87">
      <w:pPr>
        <w:pStyle w:val="Odstavecseseznamem"/>
        <w:numPr>
          <w:ilvl w:val="0"/>
          <w:numId w:val="8"/>
        </w:numPr>
        <w:spacing w:before="120" w:after="120"/>
        <w:ind w:left="1276" w:hanging="425"/>
        <w:contextualSpacing w:val="0"/>
        <w:jc w:val="both"/>
        <w:rPr>
          <w:rFonts w:cs="Arial"/>
        </w:rPr>
      </w:pPr>
      <w:r>
        <w:rPr>
          <w:rFonts w:cs="Arial"/>
        </w:rPr>
        <w:t xml:space="preserve">Průměrný počet úkonu donáška stravy na </w:t>
      </w:r>
      <w:r>
        <w:t>průměrný přepočtený úvazek PP</w:t>
      </w:r>
      <w:r>
        <w:rPr>
          <w:rFonts w:cs="Arial"/>
        </w:rPr>
        <w:t>/rok =</w:t>
      </w:r>
      <w:r>
        <w:rPr>
          <w:rFonts w:cs="Arial"/>
          <w:b/>
        </w:rPr>
        <w:t> </w:t>
      </w:r>
      <w:r>
        <w:rPr>
          <w:b/>
        </w:rPr>
        <w:t>J</w:t>
      </w:r>
      <w:r>
        <w:t>.</w:t>
      </w:r>
    </w:p>
    <w:p w14:paraId="6D85DA4B" w14:textId="77777777" w:rsidR="00475554" w:rsidRDefault="00157B87">
      <w:pPr>
        <w:pStyle w:val="Odstavecseseznamem"/>
        <w:numPr>
          <w:ilvl w:val="0"/>
          <w:numId w:val="8"/>
        </w:numPr>
        <w:spacing w:before="120" w:after="120"/>
        <w:ind w:left="1276" w:hanging="425"/>
        <w:contextualSpacing w:val="0"/>
        <w:jc w:val="both"/>
        <w:rPr>
          <w:rFonts w:cs="Arial"/>
        </w:rPr>
      </w:pPr>
      <w:r>
        <w:rPr>
          <w:rFonts w:cs="Arial"/>
        </w:rPr>
        <w:t xml:space="preserve">Maximální cena úkonu donáška stravy stanovená prováděcí vyhláškou = </w:t>
      </w:r>
      <w:r>
        <w:rPr>
          <w:b/>
        </w:rPr>
        <w:t>J</w:t>
      </w:r>
      <w:r>
        <w:rPr>
          <w:b/>
          <w:vertAlign w:val="subscript"/>
        </w:rPr>
        <w:t>C</w:t>
      </w:r>
      <w:r>
        <w:t>.</w:t>
      </w:r>
    </w:p>
    <w:tbl>
      <w:tblPr>
        <w:tblStyle w:val="Mkatabulky"/>
        <w:tblW w:w="8221" w:type="dxa"/>
        <w:tblInd w:w="846" w:type="dxa"/>
        <w:tblLook w:val="04A0" w:firstRow="1" w:lastRow="0" w:firstColumn="1" w:lastColumn="0" w:noHBand="0" w:noVBand="1"/>
      </w:tblPr>
      <w:tblGrid>
        <w:gridCol w:w="8221"/>
      </w:tblGrid>
      <w:tr w:rsidR="00475554" w14:paraId="4A69C58B" w14:textId="77777777">
        <w:trPr>
          <w:trHeight w:val="1151"/>
        </w:trPr>
        <w:tc>
          <w:tcPr>
            <w:tcW w:w="8221" w:type="dxa"/>
          </w:tcPr>
          <w:p w14:paraId="43145526" w14:textId="77777777" w:rsidR="00475554" w:rsidRDefault="00157B87">
            <w:pPr>
              <w:spacing w:before="60" w:after="60" w:line="276" w:lineRule="auto"/>
              <w:ind w:left="34"/>
              <w:jc w:val="both"/>
              <w:rPr>
                <w:rFonts w:cs="Arial"/>
                <w:b/>
                <w:i/>
              </w:rPr>
            </w:pPr>
            <w:r>
              <w:rPr>
                <w:rFonts w:cs="Arial"/>
                <w:b/>
                <w:i/>
              </w:rPr>
              <w:t>Vzorec výpočtu obvyklého ročního výnosu na jednotku pečovatelské služby za základní činnosti:</w:t>
            </w:r>
          </w:p>
          <w:p w14:paraId="7E136DD7" w14:textId="77777777" w:rsidR="00475554" w:rsidRDefault="00B67ACF">
            <w:pPr>
              <w:spacing w:before="60" w:after="60" w:line="276" w:lineRule="auto"/>
              <w:ind w:left="-533"/>
              <w:jc w:val="both"/>
              <w:rPr>
                <w:rFonts w:cs="Arial"/>
                <w:b/>
                <w:i/>
              </w:rPr>
            </w:pPr>
            <m:oMathPara>
              <m:oMath>
                <m:sSub>
                  <m:sSubPr>
                    <m:ctrlPr>
                      <w:rPr>
                        <w:rFonts w:ascii="Cambria Math" w:hAnsi="Cambria Math" w:cs="Arial"/>
                        <w:b/>
                        <w:bCs/>
                        <w:i/>
                        <w:iCs/>
                      </w:rPr>
                    </m:ctrlPr>
                  </m:sSubPr>
                  <m:e>
                    <m:r>
                      <m:rPr>
                        <m:sty m:val="bi"/>
                      </m:rPr>
                      <w:rPr>
                        <w:rFonts w:ascii="Cambria Math" w:hAnsi="Cambria Math" w:cs="Arial"/>
                      </w:rPr>
                      <m:t>V</m:t>
                    </m:r>
                  </m:e>
                  <m:sub>
                    <m:r>
                      <m:rPr>
                        <m:sty m:val="bi"/>
                      </m:rPr>
                      <w:rPr>
                        <w:rFonts w:ascii="Cambria Math" w:hAnsi="Cambria Math" w:cs="Arial"/>
                      </w:rPr>
                      <m:t>UTP</m:t>
                    </m:r>
                  </m:sub>
                </m:sSub>
                <m:r>
                  <m:rPr>
                    <m:sty m:val="bi"/>
                  </m:rPr>
                  <w:rPr>
                    <w:rFonts w:ascii="Cambria Math" w:hAnsi="Cambria Math" w:cs="Arial"/>
                  </w:rPr>
                  <m:t>=</m:t>
                </m:r>
                <m:d>
                  <m:dPr>
                    <m:ctrlPr>
                      <w:rPr>
                        <w:rFonts w:ascii="Cambria Math" w:hAnsi="Cambria Math" w:cs="Arial"/>
                        <w:b/>
                        <w:i/>
                      </w:rPr>
                    </m:ctrlPr>
                  </m:dPr>
                  <m:e>
                    <m:sSub>
                      <m:sSubPr>
                        <m:ctrlPr>
                          <w:rPr>
                            <w:rFonts w:ascii="Cambria Math" w:hAnsi="Cambria Math" w:cs="Arial"/>
                            <w:b/>
                            <w:i/>
                          </w:rPr>
                        </m:ctrlPr>
                      </m:sSubPr>
                      <m:e>
                        <m:r>
                          <m:rPr>
                            <m:sty m:val="bi"/>
                          </m:rPr>
                          <w:rPr>
                            <w:rFonts w:ascii="Cambria Math" w:hAnsi="Cambria Math" w:cs="Arial"/>
                          </w:rPr>
                          <m:t>H</m:t>
                        </m:r>
                      </m:e>
                      <m:sub>
                        <m:r>
                          <m:rPr>
                            <m:sty m:val="bi"/>
                          </m:rPr>
                          <w:rPr>
                            <w:rFonts w:ascii="Cambria Math" w:hAnsi="Cambria Math" w:cs="Arial"/>
                          </w:rPr>
                          <m:t>PP</m:t>
                        </m:r>
                      </m:sub>
                    </m:sSub>
                    <m:r>
                      <m:rPr>
                        <m:sty m:val="bi"/>
                      </m:rPr>
                      <w:rPr>
                        <w:rFonts w:ascii="Cambria Math" w:hAnsi="Cambria Math" w:cs="Arial"/>
                      </w:rPr>
                      <m:t>×</m:t>
                    </m:r>
                    <m:r>
                      <m:rPr>
                        <m:sty m:val="bi"/>
                      </m:rPr>
                      <w:rPr>
                        <w:rFonts w:ascii="Cambria Math" w:hAnsi="Cambria Math" w:cs="Arial"/>
                      </w:rPr>
                      <m:t>S</m:t>
                    </m:r>
                    <m:r>
                      <m:rPr>
                        <m:sty m:val="bi"/>
                      </m:rPr>
                      <w:rPr>
                        <w:rFonts w:ascii="Cambria Math" w:hAnsi="Cambria Math" w:cs="Arial"/>
                      </w:rPr>
                      <m:t xml:space="preserve"> ×</m:t>
                    </m:r>
                    <m:r>
                      <m:rPr>
                        <m:sty m:val="bi"/>
                      </m:rPr>
                      <w:rPr>
                        <w:rFonts w:ascii="Cambria Math" w:hAnsi="Cambria Math" w:cs="Arial"/>
                      </w:rPr>
                      <m:t>D</m:t>
                    </m:r>
                  </m:e>
                </m:d>
                <m:r>
                  <m:rPr>
                    <m:sty m:val="bi"/>
                  </m:rPr>
                  <w:rPr>
                    <w:rFonts w:ascii="Cambria Math" w:hAnsi="Cambria Math" w:cs="Arial"/>
                  </w:rPr>
                  <m:t>+</m:t>
                </m:r>
                <m:d>
                  <m:dPr>
                    <m:ctrlPr>
                      <w:rPr>
                        <w:rFonts w:ascii="Cambria Math" w:hAnsi="Cambria Math" w:cs="Arial"/>
                        <w:b/>
                        <w:i/>
                      </w:rPr>
                    </m:ctrlPr>
                  </m:dPr>
                  <m:e>
                    <m:r>
                      <m:rPr>
                        <m:sty m:val="bi"/>
                      </m:rPr>
                      <w:rPr>
                        <w:rFonts w:ascii="Cambria Math" w:hAnsi="Cambria Math" w:cs="Arial"/>
                      </w:rPr>
                      <m:t>J</m:t>
                    </m:r>
                    <m:r>
                      <m:rPr>
                        <m:sty m:val="bi"/>
                      </m:rPr>
                      <w:rPr>
                        <w:rFonts w:ascii="Cambria Math" w:hAnsi="Cambria Math" w:cs="Arial"/>
                      </w:rPr>
                      <m:t xml:space="preserve"> × </m:t>
                    </m:r>
                    <m:sSub>
                      <m:sSubPr>
                        <m:ctrlPr>
                          <w:rPr>
                            <w:rFonts w:ascii="Cambria Math" w:hAnsi="Cambria Math" w:cs="Arial"/>
                            <w:b/>
                            <w:i/>
                          </w:rPr>
                        </m:ctrlPr>
                      </m:sSubPr>
                      <m:e>
                        <m:r>
                          <m:rPr>
                            <m:sty m:val="bi"/>
                          </m:rPr>
                          <w:rPr>
                            <w:rFonts w:ascii="Cambria Math" w:hAnsi="Cambria Math" w:cs="Arial"/>
                          </w:rPr>
                          <m:t>J</m:t>
                        </m:r>
                      </m:e>
                      <m:sub>
                        <m:r>
                          <m:rPr>
                            <m:sty m:val="bi"/>
                          </m:rPr>
                          <w:rPr>
                            <w:rFonts w:ascii="Cambria Math" w:hAnsi="Cambria Math" w:cs="Arial"/>
                          </w:rPr>
                          <m:t>C</m:t>
                        </m:r>
                      </m:sub>
                    </m:sSub>
                  </m:e>
                </m:d>
              </m:oMath>
            </m:oMathPara>
          </w:p>
        </w:tc>
      </w:tr>
    </w:tbl>
    <w:p w14:paraId="56CC49D3" w14:textId="77777777" w:rsidR="00475554" w:rsidRDefault="00157B87">
      <w:pPr>
        <w:pStyle w:val="Odstavecseseznamem"/>
        <w:numPr>
          <w:ilvl w:val="1"/>
          <w:numId w:val="10"/>
        </w:numPr>
        <w:spacing w:before="120" w:after="120"/>
        <w:ind w:left="850" w:hanging="425"/>
        <w:contextualSpacing w:val="0"/>
        <w:jc w:val="both"/>
        <w:rPr>
          <w:rFonts w:cs="Arial"/>
          <w:b/>
          <w:spacing w:val="-2"/>
        </w:rPr>
      </w:pPr>
      <w:r>
        <w:rPr>
          <w:rFonts w:cs="Arial"/>
          <w:b/>
          <w:spacing w:val="-2"/>
        </w:rPr>
        <w:t>Výnosy na jednotku sociální služby/rok za základní činnosti ostatní terénní služby sociální péče = V</w:t>
      </w:r>
      <w:r>
        <w:rPr>
          <w:rFonts w:cs="Arial"/>
          <w:b/>
          <w:spacing w:val="-2"/>
          <w:vertAlign w:val="subscript"/>
        </w:rPr>
        <w:t>UT</w:t>
      </w:r>
    </w:p>
    <w:p w14:paraId="763905CE" w14:textId="77777777" w:rsidR="00475554" w:rsidRDefault="00157B87">
      <w:pPr>
        <w:spacing w:before="120" w:after="120"/>
        <w:ind w:left="851"/>
        <w:jc w:val="both"/>
        <w:rPr>
          <w:b/>
        </w:rPr>
      </w:pPr>
      <w:r>
        <w:rPr>
          <w:b/>
        </w:rPr>
        <w:t>Východiska:</w:t>
      </w:r>
    </w:p>
    <w:p w14:paraId="04A0AE18" w14:textId="698553C5" w:rsidR="00ED4A00" w:rsidRPr="00674FD9" w:rsidRDefault="00ED4A00" w:rsidP="00674FD9">
      <w:pPr>
        <w:pStyle w:val="Odstavecseseznamem"/>
        <w:numPr>
          <w:ilvl w:val="0"/>
          <w:numId w:val="8"/>
        </w:numPr>
        <w:spacing w:before="120" w:after="120"/>
        <w:ind w:left="1276" w:hanging="425"/>
        <w:contextualSpacing w:val="0"/>
        <w:jc w:val="both"/>
        <w:rPr>
          <w:rFonts w:cs="Arial"/>
        </w:rPr>
      </w:pPr>
      <w:r>
        <w:rPr>
          <w:rFonts w:cs="Arial"/>
        </w:rPr>
        <w:t xml:space="preserve">Minimální počet hodin v přímé péči na průměrný přepočtený úvazek PP/den, </w:t>
      </w:r>
      <w:r w:rsidRPr="00674FD9">
        <w:rPr>
          <w:rFonts w:cs="Arial"/>
        </w:rPr>
        <w:t>stanovený jako indikátor pro daný druh sociální služby</w:t>
      </w:r>
      <w:r w:rsidR="008C50A1">
        <w:rPr>
          <w:rFonts w:cs="Arial"/>
        </w:rPr>
        <w:t xml:space="preserve"> </w:t>
      </w:r>
      <w:r w:rsidRPr="00674FD9">
        <w:rPr>
          <w:rFonts w:cs="Arial"/>
        </w:rPr>
        <w:t xml:space="preserve">= </w:t>
      </w:r>
      <w:r w:rsidRPr="008C50A1">
        <w:rPr>
          <w:rFonts w:cs="Arial"/>
          <w:b/>
          <w:bCs/>
        </w:rPr>
        <w:t>H</w:t>
      </w:r>
      <w:r w:rsidRPr="008C50A1">
        <w:rPr>
          <w:rFonts w:cs="Arial"/>
          <w:b/>
          <w:bCs/>
          <w:vertAlign w:val="subscript"/>
        </w:rPr>
        <w:t>PP</w:t>
      </w:r>
      <w:r w:rsidRPr="00674FD9">
        <w:rPr>
          <w:rFonts w:cs="Arial"/>
        </w:rPr>
        <w:t>.</w:t>
      </w:r>
    </w:p>
    <w:p w14:paraId="234384BE" w14:textId="77777777" w:rsidR="00475554" w:rsidRDefault="00157B87">
      <w:pPr>
        <w:pStyle w:val="Odstavecseseznamem"/>
        <w:numPr>
          <w:ilvl w:val="0"/>
          <w:numId w:val="8"/>
        </w:numPr>
        <w:spacing w:before="120" w:after="120"/>
        <w:ind w:left="1276" w:hanging="425"/>
        <w:contextualSpacing w:val="0"/>
        <w:jc w:val="both"/>
        <w:rPr>
          <w:rFonts w:cs="Arial"/>
        </w:rPr>
      </w:pPr>
      <w:r>
        <w:rPr>
          <w:rFonts w:cs="Arial"/>
        </w:rPr>
        <w:t xml:space="preserve">Maximální úhrada za hodinu poskytnuté péče stanovené </w:t>
      </w:r>
      <w:r>
        <w:t>prováděcí vyhláškou</w:t>
      </w:r>
      <w:r>
        <w:rPr>
          <w:rFonts w:cs="Arial"/>
        </w:rPr>
        <w:t xml:space="preserve">, pro daný druh sociální služby </w:t>
      </w:r>
      <w:r>
        <w:t xml:space="preserve">= </w:t>
      </w:r>
      <w:r>
        <w:rPr>
          <w:b/>
        </w:rPr>
        <w:t>S</w:t>
      </w:r>
      <w:r>
        <w:t>.</w:t>
      </w:r>
    </w:p>
    <w:p w14:paraId="70484570" w14:textId="77777777" w:rsidR="00475554" w:rsidRDefault="00157B87">
      <w:pPr>
        <w:pStyle w:val="Odstavecseseznamem"/>
        <w:numPr>
          <w:ilvl w:val="0"/>
          <w:numId w:val="8"/>
        </w:numPr>
        <w:spacing w:before="120" w:after="120"/>
        <w:ind w:left="1276" w:hanging="425"/>
        <w:contextualSpacing w:val="0"/>
        <w:jc w:val="both"/>
      </w:pPr>
      <w:r>
        <w:t xml:space="preserve">Počet skutečně odpracovaných dnů za rok, pracovníkem v přímé péči dle Metodiky KISSoS = </w:t>
      </w:r>
      <w:r>
        <w:rPr>
          <w:b/>
        </w:rPr>
        <w:t>D</w:t>
      </w:r>
      <w:r>
        <w:t>.</w:t>
      </w:r>
    </w:p>
    <w:tbl>
      <w:tblPr>
        <w:tblStyle w:val="Mkatabulky"/>
        <w:tblW w:w="8221" w:type="dxa"/>
        <w:tblInd w:w="846" w:type="dxa"/>
        <w:tblLook w:val="04A0" w:firstRow="1" w:lastRow="0" w:firstColumn="1" w:lastColumn="0" w:noHBand="0" w:noVBand="1"/>
      </w:tblPr>
      <w:tblGrid>
        <w:gridCol w:w="8221"/>
      </w:tblGrid>
      <w:tr w:rsidR="00475554" w14:paraId="047331F0" w14:textId="77777777">
        <w:trPr>
          <w:trHeight w:val="1110"/>
        </w:trPr>
        <w:tc>
          <w:tcPr>
            <w:tcW w:w="8221" w:type="dxa"/>
          </w:tcPr>
          <w:p w14:paraId="1F9CC06B" w14:textId="77777777" w:rsidR="00475554" w:rsidRDefault="00157B87">
            <w:pPr>
              <w:spacing w:before="60" w:after="60" w:line="276" w:lineRule="auto"/>
              <w:ind w:left="34"/>
              <w:jc w:val="both"/>
              <w:rPr>
                <w:rFonts w:cs="Arial"/>
                <w:b/>
                <w:i/>
              </w:rPr>
            </w:pPr>
            <w:r>
              <w:rPr>
                <w:rFonts w:cs="Arial"/>
                <w:b/>
                <w:i/>
              </w:rPr>
              <w:t xml:space="preserve">Vzorec výpočtu obvyklého ročního výnosu na jednotku sociální služby za základní činnosti: </w:t>
            </w:r>
          </w:p>
          <w:p w14:paraId="5B8E7D8B" w14:textId="77777777" w:rsidR="00475554" w:rsidRDefault="00B67ACF">
            <w:pPr>
              <w:spacing w:before="60" w:after="60" w:line="276" w:lineRule="auto"/>
              <w:ind w:left="-1101"/>
              <w:jc w:val="both"/>
              <w:rPr>
                <w:rFonts w:cs="Arial"/>
                <w:b/>
                <w:i/>
              </w:rPr>
            </w:pPr>
            <m:oMathPara>
              <m:oMath>
                <m:sSub>
                  <m:sSubPr>
                    <m:ctrlPr>
                      <w:rPr>
                        <w:rFonts w:ascii="Cambria Math" w:hAnsi="Cambria Math" w:cs="Arial"/>
                        <w:b/>
                        <w:bCs/>
                        <w:i/>
                        <w:iCs/>
                      </w:rPr>
                    </m:ctrlPr>
                  </m:sSubPr>
                  <m:e>
                    <m:r>
                      <m:rPr>
                        <m:sty m:val="bi"/>
                      </m:rPr>
                      <w:rPr>
                        <w:rFonts w:ascii="Cambria Math" w:hAnsi="Cambria Math" w:cs="Arial"/>
                      </w:rPr>
                      <m:t>V</m:t>
                    </m:r>
                  </m:e>
                  <m:sub>
                    <m:r>
                      <m:rPr>
                        <m:sty m:val="bi"/>
                      </m:rPr>
                      <w:rPr>
                        <w:rFonts w:ascii="Cambria Math" w:hAnsi="Cambria Math" w:cs="Arial"/>
                      </w:rPr>
                      <m:t>UT</m:t>
                    </m:r>
                  </m:sub>
                </m:sSub>
                <m:r>
                  <m:rPr>
                    <m:sty m:val="bi"/>
                  </m:rPr>
                  <w:rPr>
                    <w:rFonts w:ascii="Cambria Math" w:hAnsi="Cambria Math" w:cs="Arial"/>
                  </w:rPr>
                  <m:t>=</m:t>
                </m:r>
                <m:sSub>
                  <m:sSubPr>
                    <m:ctrlPr>
                      <w:rPr>
                        <w:rFonts w:ascii="Cambria Math" w:hAnsi="Cambria Math" w:cs="Arial"/>
                        <w:b/>
                        <w:i/>
                      </w:rPr>
                    </m:ctrlPr>
                  </m:sSubPr>
                  <m:e>
                    <m:r>
                      <m:rPr>
                        <m:sty m:val="bi"/>
                      </m:rPr>
                      <w:rPr>
                        <w:rFonts w:ascii="Cambria Math" w:hAnsi="Cambria Math" w:cs="Arial"/>
                      </w:rPr>
                      <m:t>H</m:t>
                    </m:r>
                  </m:e>
                  <m:sub>
                    <m:r>
                      <m:rPr>
                        <m:sty m:val="bi"/>
                      </m:rPr>
                      <w:rPr>
                        <w:rFonts w:ascii="Cambria Math" w:hAnsi="Cambria Math" w:cs="Arial"/>
                      </w:rPr>
                      <m:t>PP</m:t>
                    </m:r>
                    <m:r>
                      <m:rPr>
                        <m:sty m:val="bi"/>
                      </m:rPr>
                      <w:rPr>
                        <w:rFonts w:ascii="Cambria Math" w:hAnsi="Cambria Math" w:cs="Arial"/>
                      </w:rPr>
                      <m:t xml:space="preserve"> </m:t>
                    </m:r>
                  </m:sub>
                </m:sSub>
                <m:r>
                  <m:rPr>
                    <m:sty m:val="bi"/>
                  </m:rPr>
                  <w:rPr>
                    <w:rFonts w:ascii="Cambria Math" w:hAnsi="Cambria Math" w:cs="Arial"/>
                  </w:rPr>
                  <m:t>×</m:t>
                </m:r>
                <m:r>
                  <m:rPr>
                    <m:sty m:val="bi"/>
                  </m:rPr>
                  <w:rPr>
                    <w:rFonts w:ascii="Cambria Math" w:hAnsi="Cambria Math" w:cs="Arial"/>
                  </w:rPr>
                  <m:t>S</m:t>
                </m:r>
                <m:r>
                  <m:rPr>
                    <m:sty m:val="bi"/>
                  </m:rPr>
                  <w:rPr>
                    <w:rFonts w:ascii="Cambria Math" w:hAnsi="Cambria Math" w:cs="Arial"/>
                  </w:rPr>
                  <m:t>×</m:t>
                </m:r>
                <m:r>
                  <m:rPr>
                    <m:sty m:val="bi"/>
                  </m:rPr>
                  <w:rPr>
                    <w:rFonts w:ascii="Cambria Math" w:hAnsi="Cambria Math" w:cs="Arial"/>
                  </w:rPr>
                  <m:t>D</m:t>
                </m:r>
              </m:oMath>
            </m:oMathPara>
          </w:p>
        </w:tc>
      </w:tr>
    </w:tbl>
    <w:p w14:paraId="524F8201" w14:textId="77777777" w:rsidR="00475554" w:rsidRDefault="00157B87">
      <w:pPr>
        <w:pStyle w:val="Odstavecseseznamem"/>
        <w:numPr>
          <w:ilvl w:val="1"/>
          <w:numId w:val="10"/>
        </w:numPr>
        <w:spacing w:before="120" w:after="120"/>
        <w:ind w:left="850" w:hanging="425"/>
        <w:contextualSpacing w:val="0"/>
        <w:jc w:val="both"/>
        <w:rPr>
          <w:b/>
        </w:rPr>
      </w:pPr>
      <w:r>
        <w:rPr>
          <w:b/>
        </w:rPr>
        <w:t>Samostatnou kategorii představuje sociální služba druhu tísňová péče:</w:t>
      </w:r>
    </w:p>
    <w:p w14:paraId="4F3B3495" w14:textId="77777777" w:rsidR="00475554" w:rsidRDefault="00157B87">
      <w:pPr>
        <w:pStyle w:val="Odstavecseseznamem"/>
        <w:numPr>
          <w:ilvl w:val="0"/>
          <w:numId w:val="29"/>
        </w:numPr>
        <w:spacing w:before="120" w:after="120"/>
        <w:ind w:left="1276" w:hanging="425"/>
        <w:contextualSpacing w:val="0"/>
        <w:jc w:val="both"/>
      </w:pPr>
      <w:r>
        <w:t xml:space="preserve">Dle prováděcí vyhlášky § 7 odst. 2 platí specifická úprava úhrady této sociální služby, a to tak, že maximální výše úhrady za poskytování tísňové péče se rovná skutečným nákladům na provoz technických komunikačních prostředků. </w:t>
      </w:r>
    </w:p>
    <w:p w14:paraId="2D5D1843" w14:textId="77777777" w:rsidR="00475554" w:rsidRDefault="00157B87">
      <w:pPr>
        <w:pStyle w:val="Odstavecseseznamem"/>
        <w:numPr>
          <w:ilvl w:val="0"/>
          <w:numId w:val="10"/>
        </w:numPr>
        <w:spacing w:before="120" w:after="120"/>
        <w:ind w:left="425" w:hanging="425"/>
        <w:contextualSpacing w:val="0"/>
        <w:jc w:val="both"/>
        <w:rPr>
          <w:rFonts w:cs="Arial"/>
        </w:rPr>
      </w:pPr>
      <w:r>
        <w:rPr>
          <w:rFonts w:cs="Arial"/>
          <w:b/>
        </w:rPr>
        <w:t xml:space="preserve">Ostatní výnosy = </w:t>
      </w:r>
      <w:r>
        <w:rPr>
          <w:b/>
        </w:rPr>
        <w:t>V</w:t>
      </w:r>
      <w:r>
        <w:rPr>
          <w:b/>
          <w:vertAlign w:val="subscript"/>
        </w:rPr>
        <w:t>O</w:t>
      </w:r>
    </w:p>
    <w:p w14:paraId="67789DE6" w14:textId="65BF1916" w:rsidR="00475554" w:rsidRDefault="00157B87">
      <w:pPr>
        <w:pStyle w:val="Odstavecseseznamem"/>
        <w:spacing w:before="120" w:after="120"/>
        <w:ind w:left="426"/>
        <w:contextualSpacing w:val="0"/>
        <w:jc w:val="both"/>
        <w:rPr>
          <w:spacing w:val="-6"/>
        </w:rPr>
      </w:pPr>
      <w:r>
        <w:rPr>
          <w:spacing w:val="-6"/>
        </w:rPr>
        <w:t>Ostatní výnosy zahrnují dary, výnosy z Nadací a nadačních fondů, zisky z let minulých apod.</w:t>
      </w:r>
    </w:p>
    <w:p w14:paraId="194E7F69" w14:textId="77777777" w:rsidR="00475554" w:rsidRDefault="00157B87">
      <w:pPr>
        <w:pStyle w:val="Odstavecseseznamem"/>
        <w:spacing w:before="120" w:after="120"/>
        <w:ind w:left="425"/>
        <w:contextualSpacing w:val="0"/>
        <w:jc w:val="both"/>
        <w:rPr>
          <w:rFonts w:cs="Arial"/>
        </w:rPr>
      </w:pPr>
      <w:r>
        <w:rPr>
          <w:rFonts w:cs="Arial"/>
        </w:rPr>
        <w:t>Ostatní výnosy jsou modelovány na základě analýzy zdrojů sociálních služeb na stanovenou jednotku sociální služby.</w:t>
      </w:r>
    </w:p>
    <w:p w14:paraId="737AA679" w14:textId="77777777" w:rsidR="00475554" w:rsidRDefault="00475554">
      <w:pPr>
        <w:spacing w:before="120" w:after="120"/>
        <w:jc w:val="both"/>
        <w:rPr>
          <w:rFonts w:cs="Arial"/>
        </w:rPr>
      </w:pPr>
    </w:p>
    <w:p w14:paraId="43516D2A" w14:textId="77777777" w:rsidR="00475554" w:rsidRDefault="00157B87">
      <w:pPr>
        <w:spacing w:before="120" w:after="120"/>
        <w:jc w:val="both"/>
        <w:rPr>
          <w:b/>
        </w:rPr>
      </w:pPr>
      <w:r>
        <w:rPr>
          <w:b/>
        </w:rPr>
        <w:t>Obvyklé roční výnosy terénních služeb sociální péče se stanoví jako součet jednotlivých výnosů sociální služby na stanovenou jednotku násobeno celkovým počtem jednotek sociální služby dle Akčního plánu pro daný rok.</w:t>
      </w:r>
    </w:p>
    <w:p w14:paraId="25D5ABD1" w14:textId="77777777" w:rsidR="00475554" w:rsidRDefault="00475554">
      <w:pPr>
        <w:spacing w:before="120" w:after="120"/>
        <w:jc w:val="both"/>
      </w:pPr>
    </w:p>
    <w:p w14:paraId="0E89562F" w14:textId="49E01E5E" w:rsidR="00475554" w:rsidRDefault="00157B87">
      <w:pPr>
        <w:pStyle w:val="Titulek"/>
        <w:spacing w:before="120" w:after="120" w:line="276" w:lineRule="auto"/>
        <w:jc w:val="both"/>
        <w:rPr>
          <w:b w:val="0"/>
          <w:color w:val="000000" w:themeColor="text1"/>
          <w:sz w:val="22"/>
          <w:szCs w:val="22"/>
        </w:rPr>
      </w:pPr>
      <w:bookmarkStart w:id="101" w:name="_Toc230769886"/>
      <w:r>
        <w:rPr>
          <w:color w:val="000000" w:themeColor="text1"/>
          <w:sz w:val="22"/>
          <w:szCs w:val="22"/>
        </w:rPr>
        <w:t>Tabulka č. </w:t>
      </w:r>
      <w:r>
        <w:rPr>
          <w:color w:val="000000" w:themeColor="text1"/>
          <w:sz w:val="22"/>
          <w:szCs w:val="22"/>
        </w:rPr>
        <w:fldChar w:fldCharType="begin"/>
      </w:r>
      <w:r>
        <w:rPr>
          <w:color w:val="000000" w:themeColor="text1"/>
          <w:sz w:val="22"/>
          <w:szCs w:val="22"/>
        </w:rPr>
        <w:instrText xml:space="preserve"> SEQ Tabulka_č. \* ARABIC </w:instrText>
      </w:r>
      <w:r>
        <w:rPr>
          <w:color w:val="000000" w:themeColor="text1"/>
          <w:sz w:val="22"/>
          <w:szCs w:val="22"/>
        </w:rPr>
        <w:fldChar w:fldCharType="separate"/>
      </w:r>
      <w:r w:rsidR="000A1D98">
        <w:rPr>
          <w:noProof/>
          <w:color w:val="000000" w:themeColor="text1"/>
          <w:sz w:val="22"/>
          <w:szCs w:val="22"/>
        </w:rPr>
        <w:t>5</w:t>
      </w:r>
      <w:r>
        <w:rPr>
          <w:color w:val="000000" w:themeColor="text1"/>
          <w:sz w:val="22"/>
          <w:szCs w:val="22"/>
        </w:rPr>
        <w:fldChar w:fldCharType="end"/>
      </w:r>
      <w:r>
        <w:rPr>
          <w:b w:val="0"/>
          <w:color w:val="000000" w:themeColor="text1"/>
          <w:sz w:val="22"/>
          <w:szCs w:val="22"/>
        </w:rPr>
        <w:t>: Znázornění výpočtu obvyklých výnosů pro konkrétní druhy terénních služeb sociální péče</w:t>
      </w:r>
      <w:bookmarkEnd w:id="101"/>
    </w:p>
    <w:tbl>
      <w:tblPr>
        <w:tblW w:w="9067" w:type="dxa"/>
        <w:jc w:val="center"/>
        <w:tblLayout w:type="fixed"/>
        <w:tblCellMar>
          <w:left w:w="70" w:type="dxa"/>
          <w:right w:w="70" w:type="dxa"/>
        </w:tblCellMar>
        <w:tblLook w:val="04A0" w:firstRow="1" w:lastRow="0" w:firstColumn="1" w:lastColumn="0" w:noHBand="0" w:noVBand="1"/>
      </w:tblPr>
      <w:tblGrid>
        <w:gridCol w:w="4533"/>
        <w:gridCol w:w="4534"/>
      </w:tblGrid>
      <w:tr w:rsidR="00475554" w14:paraId="685D88FA" w14:textId="77777777">
        <w:trPr>
          <w:cantSplit/>
          <w:trHeight w:val="454"/>
          <w:tblHeader/>
          <w:jc w:val="center"/>
        </w:trPr>
        <w:tc>
          <w:tcPr>
            <w:tcW w:w="453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5BC089D"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Druh sociální služby</w:t>
            </w:r>
          </w:p>
        </w:tc>
        <w:tc>
          <w:tcPr>
            <w:tcW w:w="4534"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59A34A12" w14:textId="77777777" w:rsidR="00475554" w:rsidRDefault="00157B87">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Vzorec</w:t>
            </w:r>
          </w:p>
        </w:tc>
      </w:tr>
      <w:tr w:rsidR="00475554" w14:paraId="77026379" w14:textId="77777777">
        <w:trPr>
          <w:cantSplit/>
          <w:trHeight w:val="454"/>
          <w:jc w:val="center"/>
        </w:trPr>
        <w:tc>
          <w:tcPr>
            <w:tcW w:w="4533" w:type="dxa"/>
            <w:tcBorders>
              <w:top w:val="single" w:sz="4" w:space="0" w:color="auto"/>
              <w:left w:val="single" w:sz="4" w:space="0" w:color="auto"/>
              <w:bottom w:val="single" w:sz="4" w:space="0" w:color="auto"/>
              <w:right w:val="single" w:sz="4" w:space="0" w:color="auto"/>
            </w:tcBorders>
            <w:noWrap/>
            <w:vAlign w:val="center"/>
          </w:tcPr>
          <w:p w14:paraId="675CC2FF"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Pečovatelská služba</w:t>
            </w:r>
          </w:p>
        </w:tc>
        <w:tc>
          <w:tcPr>
            <w:tcW w:w="4534" w:type="dxa"/>
            <w:tcBorders>
              <w:top w:val="single" w:sz="4" w:space="0" w:color="auto"/>
              <w:left w:val="nil"/>
              <w:bottom w:val="single" w:sz="4" w:space="0" w:color="auto"/>
              <w:right w:val="single" w:sz="4" w:space="0" w:color="auto"/>
            </w:tcBorders>
            <w:noWrap/>
            <w:vAlign w:val="center"/>
          </w:tcPr>
          <w:p w14:paraId="6CB1AB38" w14:textId="77777777" w:rsidR="00475554" w:rsidRDefault="00157B87">
            <w:pPr>
              <w:spacing w:before="60" w:after="60" w:line="240" w:lineRule="auto"/>
              <w:rPr>
                <w:rFonts w:ascii="Calibri" w:hAnsi="Calibri"/>
                <w:b/>
                <w:color w:val="000000"/>
                <w:sz w:val="20"/>
                <w:szCs w:val="20"/>
                <w:highlight w:val="cyan"/>
              </w:rPr>
            </w:pPr>
            <w:r>
              <w:rPr>
                <w:rFonts w:ascii="Calibri" w:hAnsi="Calibri"/>
                <w:b/>
                <w:color w:val="000000"/>
                <w:sz w:val="20"/>
                <w:szCs w:val="20"/>
              </w:rPr>
              <w:t>(</w:t>
            </w:r>
            <w:r>
              <w:rPr>
                <w:rFonts w:cs="Arial"/>
                <w:b/>
                <w:sz w:val="20"/>
                <w:szCs w:val="20"/>
              </w:rPr>
              <w:t>V</w:t>
            </w:r>
            <w:r>
              <w:rPr>
                <w:rFonts w:cs="Arial"/>
                <w:b/>
                <w:sz w:val="20"/>
                <w:szCs w:val="20"/>
                <w:vertAlign w:val="subscript"/>
              </w:rPr>
              <w:t xml:space="preserve">UTP </w:t>
            </w:r>
            <w:r>
              <w:rPr>
                <w:rFonts w:cs="Arial"/>
                <w:b/>
                <w:sz w:val="20"/>
                <w:szCs w:val="20"/>
              </w:rPr>
              <w:t>+ V</w:t>
            </w:r>
            <w:r>
              <w:rPr>
                <w:rFonts w:cs="Arial"/>
                <w:b/>
                <w:sz w:val="20"/>
                <w:szCs w:val="20"/>
                <w:vertAlign w:val="subscript"/>
              </w:rPr>
              <w:t>O</w:t>
            </w:r>
            <w:r>
              <w:rPr>
                <w:rFonts w:ascii="Calibri" w:hAnsi="Calibri"/>
                <w:b/>
                <w:color w:val="000000"/>
                <w:sz w:val="20"/>
                <w:szCs w:val="20"/>
              </w:rPr>
              <w:t>) x celkový počet jednotek služby dle AP</w:t>
            </w:r>
          </w:p>
        </w:tc>
      </w:tr>
      <w:tr w:rsidR="00475554" w14:paraId="46057916" w14:textId="77777777">
        <w:trPr>
          <w:cantSplit/>
          <w:trHeight w:val="454"/>
          <w:jc w:val="center"/>
        </w:trPr>
        <w:tc>
          <w:tcPr>
            <w:tcW w:w="4533" w:type="dxa"/>
            <w:tcBorders>
              <w:top w:val="single" w:sz="4" w:space="0" w:color="auto"/>
              <w:left w:val="single" w:sz="4" w:space="0" w:color="auto"/>
              <w:bottom w:val="single" w:sz="4" w:space="0" w:color="auto"/>
              <w:right w:val="single" w:sz="4" w:space="0" w:color="auto"/>
            </w:tcBorders>
            <w:noWrap/>
            <w:vAlign w:val="center"/>
          </w:tcPr>
          <w:p w14:paraId="31AF1AF5" w14:textId="77777777" w:rsidR="00475554" w:rsidRDefault="00157B87">
            <w:pPr>
              <w:spacing w:before="60" w:after="60" w:line="240" w:lineRule="auto"/>
              <w:rPr>
                <w:rFonts w:ascii="Calibri" w:hAnsi="Calibri"/>
                <w:color w:val="000000"/>
                <w:spacing w:val="-4"/>
                <w:sz w:val="20"/>
                <w:szCs w:val="20"/>
              </w:rPr>
            </w:pPr>
            <w:r>
              <w:rPr>
                <w:rFonts w:ascii="Calibri" w:hAnsi="Calibri"/>
                <w:color w:val="000000"/>
                <w:spacing w:val="-4"/>
                <w:sz w:val="20"/>
                <w:szCs w:val="20"/>
              </w:rPr>
              <w:t>Odlehčovací služby</w:t>
            </w:r>
          </w:p>
          <w:p w14:paraId="25AA088A"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Osobní asistence</w:t>
            </w:r>
          </w:p>
          <w:p w14:paraId="07166051"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Podpora samostatného bydlení</w:t>
            </w:r>
          </w:p>
          <w:p w14:paraId="0079B02A" w14:textId="77777777" w:rsidR="00475554" w:rsidRDefault="00157B87">
            <w:pPr>
              <w:spacing w:before="60" w:after="60" w:line="240" w:lineRule="auto"/>
              <w:rPr>
                <w:rFonts w:ascii="Calibri" w:hAnsi="Calibri"/>
                <w:color w:val="000000"/>
                <w:sz w:val="20"/>
                <w:szCs w:val="20"/>
              </w:rPr>
            </w:pPr>
            <w:r>
              <w:rPr>
                <w:rFonts w:ascii="Calibri" w:hAnsi="Calibri"/>
                <w:color w:val="000000"/>
                <w:sz w:val="20"/>
                <w:szCs w:val="20"/>
              </w:rPr>
              <w:t>Průvodcovské a předčitatelské služby</w:t>
            </w:r>
          </w:p>
        </w:tc>
        <w:tc>
          <w:tcPr>
            <w:tcW w:w="4534" w:type="dxa"/>
            <w:tcBorders>
              <w:top w:val="single" w:sz="4" w:space="0" w:color="auto"/>
              <w:left w:val="nil"/>
              <w:bottom w:val="single" w:sz="4" w:space="0" w:color="auto"/>
              <w:right w:val="single" w:sz="4" w:space="0" w:color="auto"/>
            </w:tcBorders>
            <w:noWrap/>
            <w:vAlign w:val="center"/>
          </w:tcPr>
          <w:p w14:paraId="5767D93A" w14:textId="77777777" w:rsidR="00475554" w:rsidRDefault="00157B87">
            <w:pPr>
              <w:spacing w:before="60" w:after="60" w:line="240" w:lineRule="auto"/>
              <w:rPr>
                <w:rFonts w:ascii="Calibri" w:hAnsi="Calibri"/>
                <w:b/>
                <w:color w:val="000000"/>
                <w:sz w:val="20"/>
                <w:szCs w:val="20"/>
                <w:highlight w:val="cyan"/>
              </w:rPr>
            </w:pPr>
            <w:r>
              <w:rPr>
                <w:rFonts w:ascii="Calibri" w:hAnsi="Calibri"/>
                <w:b/>
                <w:color w:val="000000"/>
                <w:sz w:val="20"/>
                <w:szCs w:val="20"/>
              </w:rPr>
              <w:t>(</w:t>
            </w:r>
            <w:r>
              <w:rPr>
                <w:rFonts w:cs="Arial"/>
                <w:b/>
                <w:sz w:val="20"/>
                <w:szCs w:val="20"/>
              </w:rPr>
              <w:t>V</w:t>
            </w:r>
            <w:r>
              <w:rPr>
                <w:rFonts w:cs="Arial"/>
                <w:b/>
                <w:sz w:val="20"/>
                <w:szCs w:val="20"/>
                <w:vertAlign w:val="subscript"/>
              </w:rPr>
              <w:t xml:space="preserve">UT </w:t>
            </w:r>
            <w:r>
              <w:rPr>
                <w:rFonts w:cs="Arial"/>
                <w:b/>
                <w:sz w:val="20"/>
                <w:szCs w:val="20"/>
              </w:rPr>
              <w:t>+ V</w:t>
            </w:r>
            <w:r>
              <w:rPr>
                <w:rFonts w:cs="Arial"/>
                <w:b/>
                <w:sz w:val="20"/>
                <w:szCs w:val="20"/>
                <w:vertAlign w:val="subscript"/>
              </w:rPr>
              <w:t>O</w:t>
            </w:r>
            <w:r>
              <w:rPr>
                <w:rFonts w:ascii="Calibri" w:hAnsi="Calibri"/>
                <w:b/>
                <w:color w:val="000000"/>
                <w:sz w:val="20"/>
                <w:szCs w:val="20"/>
              </w:rPr>
              <w:t>) x celkový počet jednotek služby dle AP</w:t>
            </w:r>
          </w:p>
        </w:tc>
      </w:tr>
    </w:tbl>
    <w:p w14:paraId="5B031F53" w14:textId="77777777" w:rsidR="00475554" w:rsidRDefault="00475554">
      <w:pPr>
        <w:spacing w:before="120" w:after="120"/>
        <w:jc w:val="both"/>
      </w:pPr>
    </w:p>
    <w:p w14:paraId="21D5A74B" w14:textId="77777777" w:rsidR="00475554" w:rsidRDefault="00157B87">
      <w:pPr>
        <w:pStyle w:val="Nadpis4"/>
        <w:spacing w:before="120" w:after="120"/>
        <w:jc w:val="both"/>
        <w:rPr>
          <w:rFonts w:asciiTheme="minorHAnsi" w:hAnsiTheme="minorHAnsi" w:cstheme="minorHAnsi"/>
        </w:rPr>
      </w:pPr>
      <w:bookmarkStart w:id="102" w:name="_Toc230777927"/>
      <w:r>
        <w:rPr>
          <w:rFonts w:asciiTheme="minorHAnsi" w:hAnsiTheme="minorHAnsi" w:cstheme="minorHAnsi"/>
        </w:rPr>
        <w:t>Obvyklé výnosy ambulantních a terénních služeb sociální prevence</w:t>
      </w:r>
      <w:bookmarkEnd w:id="102"/>
    </w:p>
    <w:p w14:paraId="1C7FB08E" w14:textId="77777777" w:rsidR="00475554" w:rsidRDefault="00475554">
      <w:pPr>
        <w:spacing w:before="120" w:after="120"/>
        <w:jc w:val="both"/>
      </w:pPr>
    </w:p>
    <w:p w14:paraId="69A4F5ED" w14:textId="77777777" w:rsidR="00475554" w:rsidRDefault="00157B87">
      <w:pPr>
        <w:spacing w:before="120" w:after="120"/>
        <w:jc w:val="both"/>
        <w:rPr>
          <w:rFonts w:cs="Arial"/>
        </w:rPr>
      </w:pPr>
      <w:r>
        <w:t xml:space="preserve">Ambulantní a terénní služby sociální prevence jsou poskytovány uživatelům bez úhrady, obvyklé výnosy sociální služby jsou tvořeny pouze </w:t>
      </w:r>
      <w:r>
        <w:rPr>
          <w:rFonts w:cs="Arial"/>
          <w:b/>
        </w:rPr>
        <w:t>ostatními výnosy = V</w:t>
      </w:r>
      <w:r>
        <w:rPr>
          <w:rFonts w:cs="Arial"/>
          <w:b/>
          <w:vertAlign w:val="subscript"/>
        </w:rPr>
        <w:t>O</w:t>
      </w:r>
      <w:r>
        <w:rPr>
          <w:rFonts w:cs="Arial"/>
        </w:rPr>
        <w:t>.</w:t>
      </w:r>
    </w:p>
    <w:p w14:paraId="787B63BB" w14:textId="6F323BA7" w:rsidR="00475554" w:rsidRDefault="00157B87">
      <w:pPr>
        <w:pStyle w:val="Odstavecseseznamem"/>
        <w:spacing w:before="120" w:after="120"/>
        <w:ind w:left="0"/>
        <w:contextualSpacing w:val="0"/>
        <w:jc w:val="both"/>
      </w:pPr>
      <w:r>
        <w:t>Ostatní výnosy zahrnují dary, výnosy z Nadací a nadačních fondů, zisky z let minulých apod.</w:t>
      </w:r>
    </w:p>
    <w:p w14:paraId="30ADE695" w14:textId="77777777" w:rsidR="00475554" w:rsidRDefault="00157B87">
      <w:pPr>
        <w:pStyle w:val="Odstavecseseznamem"/>
        <w:spacing w:before="120" w:after="120"/>
        <w:ind w:left="0"/>
        <w:contextualSpacing w:val="0"/>
        <w:jc w:val="both"/>
        <w:rPr>
          <w:rFonts w:cs="Arial"/>
        </w:rPr>
      </w:pPr>
      <w:r>
        <w:rPr>
          <w:rFonts w:cs="Arial"/>
        </w:rPr>
        <w:t>Ostatní výnosy jsou modelovány na základě analýzy zdrojů sociálních služeb na stanovenou jednotku sociální služby.</w:t>
      </w:r>
      <w:r w:rsidR="00465444">
        <w:rPr>
          <w:rFonts w:cs="Arial"/>
        </w:rPr>
        <w:t xml:space="preserve"> </w:t>
      </w:r>
      <w:r w:rsidR="00465444">
        <w:t xml:space="preserve">Při korekci výsledné hodnoty se zohledňují také legislativní změny, zejména výše úhrad od uživatele při změně prováděcí vyhlášky.  </w:t>
      </w:r>
    </w:p>
    <w:p w14:paraId="1A73C077" w14:textId="3A27FE14" w:rsidR="00475554" w:rsidRDefault="00157B87">
      <w:pPr>
        <w:pStyle w:val="Odstavecseseznamem"/>
        <w:spacing w:before="120" w:after="120"/>
        <w:ind w:left="0"/>
        <w:contextualSpacing w:val="0"/>
        <w:jc w:val="both"/>
        <w:rPr>
          <w:b/>
        </w:rPr>
      </w:pPr>
      <w:r>
        <w:rPr>
          <w:b/>
        </w:rPr>
        <w:t xml:space="preserve">Obvyklé roční výnosy ambulantních a terénních služeb sociální prevence se stanoví jako součin ostatních výnosů příslušné sociální služby na stanovenou jednotku a </w:t>
      </w:r>
      <w:r w:rsidR="00C819C7">
        <w:rPr>
          <w:b/>
        </w:rPr>
        <w:t>celkového počtu</w:t>
      </w:r>
      <w:r>
        <w:rPr>
          <w:b/>
        </w:rPr>
        <w:t xml:space="preserve"> jednotek příslušné sociální služby dle Akčního plánu pro daný rok.</w:t>
      </w:r>
    </w:p>
    <w:p w14:paraId="65AB6301" w14:textId="77777777" w:rsidR="00475554" w:rsidRDefault="00475554">
      <w:pPr>
        <w:pStyle w:val="Odstavecseseznamem"/>
        <w:spacing w:before="120" w:after="120"/>
        <w:ind w:left="0"/>
        <w:contextualSpacing w:val="0"/>
        <w:jc w:val="both"/>
      </w:pPr>
    </w:p>
    <w:p w14:paraId="7B020C07" w14:textId="77777777" w:rsidR="00475554" w:rsidRDefault="00157B87">
      <w:pPr>
        <w:pStyle w:val="Nadpis4"/>
        <w:spacing w:before="120" w:after="120"/>
        <w:jc w:val="both"/>
        <w:rPr>
          <w:rFonts w:asciiTheme="minorHAnsi" w:hAnsiTheme="minorHAnsi" w:cstheme="minorHAnsi"/>
        </w:rPr>
      </w:pPr>
      <w:bookmarkStart w:id="103" w:name="_Toc230777928"/>
      <w:r>
        <w:rPr>
          <w:rFonts w:asciiTheme="minorHAnsi" w:hAnsiTheme="minorHAnsi" w:cstheme="minorHAnsi"/>
        </w:rPr>
        <w:t>Obvyklé výnosy ambulantních a terénních služeb sociálního poradenství</w:t>
      </w:r>
      <w:bookmarkEnd w:id="103"/>
    </w:p>
    <w:p w14:paraId="1894739D" w14:textId="77777777" w:rsidR="00475554" w:rsidRDefault="00475554">
      <w:pPr>
        <w:spacing w:before="120" w:after="120"/>
        <w:jc w:val="both"/>
      </w:pPr>
    </w:p>
    <w:p w14:paraId="1224064F" w14:textId="77777777" w:rsidR="00475554" w:rsidRDefault="00157B87">
      <w:pPr>
        <w:spacing w:before="120" w:after="120"/>
        <w:jc w:val="both"/>
        <w:rPr>
          <w:rFonts w:cs="Arial"/>
        </w:rPr>
      </w:pPr>
      <w:r>
        <w:t xml:space="preserve">Ambulantní a terénní služby sociálního poradenství jsou poskytovány uživatelům bez úhrady, obvyklé výnosy sociální služby jsou tvořeny pouze </w:t>
      </w:r>
      <w:r>
        <w:rPr>
          <w:rFonts w:cs="Arial"/>
          <w:b/>
        </w:rPr>
        <w:t>ostatními výnosy = V</w:t>
      </w:r>
      <w:r>
        <w:rPr>
          <w:rFonts w:cs="Arial"/>
          <w:b/>
          <w:vertAlign w:val="subscript"/>
        </w:rPr>
        <w:t>O</w:t>
      </w:r>
      <w:r>
        <w:rPr>
          <w:rFonts w:cs="Arial"/>
        </w:rPr>
        <w:t>.</w:t>
      </w:r>
    </w:p>
    <w:p w14:paraId="0B12C7FD" w14:textId="75276DA0" w:rsidR="00475554" w:rsidRDefault="00157B87">
      <w:pPr>
        <w:pStyle w:val="Odstavecseseznamem"/>
        <w:spacing w:before="120" w:after="120"/>
        <w:ind w:left="0"/>
        <w:contextualSpacing w:val="0"/>
        <w:jc w:val="both"/>
      </w:pPr>
      <w:r>
        <w:t>Ostatní výnosy zahrnují dary, výnosy z Nadací a nadačních fondů, zisky z let minulých apod.</w:t>
      </w:r>
    </w:p>
    <w:p w14:paraId="6A8EECBB" w14:textId="77777777" w:rsidR="00475554" w:rsidRDefault="00157B87">
      <w:pPr>
        <w:pStyle w:val="Odstavecseseznamem"/>
        <w:spacing w:before="120" w:after="120"/>
        <w:ind w:left="0"/>
        <w:contextualSpacing w:val="0"/>
        <w:jc w:val="both"/>
        <w:rPr>
          <w:rFonts w:cs="Arial"/>
        </w:rPr>
      </w:pPr>
      <w:r>
        <w:rPr>
          <w:rFonts w:cs="Arial"/>
        </w:rPr>
        <w:t>Ostatní výnosy jsou modelovány na základě analýzy zdrojů sociálních služeb na stanovenou jednotku sociální služby.</w:t>
      </w:r>
      <w:r w:rsidR="00465444" w:rsidRPr="00465444">
        <w:t xml:space="preserve"> </w:t>
      </w:r>
      <w:r w:rsidR="00465444">
        <w:t xml:space="preserve">Při korekci výsledné hodnoty se zohledňují také legislativní změny, zejména výše úhrad od uživatele při změně prováděcí vyhlášky.  </w:t>
      </w:r>
    </w:p>
    <w:p w14:paraId="081CA824" w14:textId="4379FCBF" w:rsidR="00475554" w:rsidRDefault="00157B87">
      <w:pPr>
        <w:pStyle w:val="Odstavecseseznamem"/>
        <w:spacing w:before="120" w:after="120"/>
        <w:ind w:left="0"/>
        <w:contextualSpacing w:val="0"/>
        <w:jc w:val="both"/>
        <w:rPr>
          <w:b/>
        </w:rPr>
      </w:pPr>
      <w:r>
        <w:rPr>
          <w:b/>
        </w:rPr>
        <w:t>Obvyklé roční výnosy ambulantních a terénních služeb sociálního poradenství se stanoví jako součin ostatních výnosů příslušné sociální služby na stanovenou jednotku a celkov</w:t>
      </w:r>
      <w:r w:rsidR="00845ED6">
        <w:rPr>
          <w:b/>
        </w:rPr>
        <w:t>ého</w:t>
      </w:r>
      <w:r>
        <w:rPr>
          <w:b/>
        </w:rPr>
        <w:t xml:space="preserve"> poč</w:t>
      </w:r>
      <w:r w:rsidR="00845ED6">
        <w:rPr>
          <w:b/>
        </w:rPr>
        <w:t>tu</w:t>
      </w:r>
      <w:r>
        <w:rPr>
          <w:b/>
        </w:rPr>
        <w:t xml:space="preserve"> jednotek příslušné sociální služby dle Akčního plánu pro daný rok.</w:t>
      </w:r>
    </w:p>
    <w:p w14:paraId="4E6B1743" w14:textId="77777777" w:rsidR="00475554" w:rsidRDefault="00475554">
      <w:pPr>
        <w:pStyle w:val="Odstavecseseznamem"/>
        <w:spacing w:before="120" w:after="120"/>
        <w:ind w:left="0"/>
        <w:contextualSpacing w:val="0"/>
        <w:jc w:val="both"/>
        <w:rPr>
          <w:b/>
        </w:rPr>
      </w:pPr>
    </w:p>
    <w:p w14:paraId="7D68494A" w14:textId="77777777" w:rsidR="00475554" w:rsidRDefault="00157B87">
      <w:pPr>
        <w:pStyle w:val="Nadpis3"/>
        <w:spacing w:before="120" w:after="120"/>
        <w:ind w:left="709" w:hanging="709"/>
        <w:jc w:val="both"/>
        <w:rPr>
          <w:rFonts w:ascii="Calibri" w:hAnsi="Calibri"/>
          <w:sz w:val="24"/>
          <w:szCs w:val="24"/>
        </w:rPr>
      </w:pPr>
      <w:bookmarkStart w:id="104" w:name="_Toc386625360"/>
      <w:bookmarkStart w:id="105" w:name="_Toc385925707"/>
      <w:bookmarkStart w:id="106" w:name="_Toc230777929"/>
      <w:r>
        <w:rPr>
          <w:rFonts w:ascii="Calibri" w:hAnsi="Calibri"/>
          <w:sz w:val="24"/>
          <w:szCs w:val="24"/>
        </w:rPr>
        <w:lastRenderedPageBreak/>
        <w:t>Stanovení vyrovnávací platby</w:t>
      </w:r>
      <w:bookmarkEnd w:id="104"/>
      <w:bookmarkEnd w:id="105"/>
      <w:r>
        <w:rPr>
          <w:rFonts w:ascii="Calibri" w:hAnsi="Calibri"/>
          <w:sz w:val="24"/>
          <w:szCs w:val="24"/>
        </w:rPr>
        <w:t xml:space="preserve"> ambulantních a terénních sociálních služeb</w:t>
      </w:r>
      <w:bookmarkEnd w:id="106"/>
    </w:p>
    <w:p w14:paraId="24D0A7ED" w14:textId="77777777" w:rsidR="00475554" w:rsidRDefault="00475554">
      <w:pPr>
        <w:spacing w:before="120" w:after="120"/>
        <w:jc w:val="both"/>
      </w:pPr>
    </w:p>
    <w:p w14:paraId="73C6F54D" w14:textId="1C7811FC" w:rsidR="00475554" w:rsidRDefault="00157B87">
      <w:pPr>
        <w:spacing w:before="120" w:after="240"/>
        <w:jc w:val="both"/>
      </w:pPr>
      <w:r>
        <w:t>Vyrovnávací platba se stanoví jako rozdíl mezi obvyklými náklady sociální služby (bod 5.</w:t>
      </w:r>
      <w:r w:rsidR="004A2715">
        <w:t>2</w:t>
      </w:r>
      <w:r>
        <w:t>.1 tohoto dokumentu) a obvyklými výnosy sociální služby (bod 5.</w:t>
      </w:r>
      <w:r w:rsidR="004A2715">
        <w:t>2</w:t>
      </w:r>
      <w:r>
        <w:t>.2 tohoto dokumentu) pro každý příslušný rok na základě provedené analýzy.</w:t>
      </w:r>
    </w:p>
    <w:p w14:paraId="32BD92BE" w14:textId="2431149D" w:rsidR="00475554" w:rsidRDefault="00157B87">
      <w:pPr>
        <w:pStyle w:val="Titulek"/>
        <w:numPr>
          <w:ilvl w:val="0"/>
          <w:numId w:val="28"/>
        </w:numPr>
        <w:spacing w:before="120" w:after="120" w:line="276" w:lineRule="auto"/>
        <w:ind w:left="426" w:hanging="426"/>
        <w:jc w:val="both"/>
        <w:rPr>
          <w:b w:val="0"/>
          <w:bCs w:val="0"/>
          <w:color w:val="auto"/>
          <w:sz w:val="22"/>
          <w:szCs w:val="22"/>
        </w:rPr>
      </w:pPr>
      <w:r>
        <w:rPr>
          <w:bCs w:val="0"/>
          <w:color w:val="auto"/>
          <w:sz w:val="22"/>
          <w:szCs w:val="22"/>
        </w:rPr>
        <w:t>Celkový podíl územních samosprávných celků</w:t>
      </w:r>
      <w:r>
        <w:rPr>
          <w:b w:val="0"/>
          <w:bCs w:val="0"/>
          <w:color w:val="auto"/>
          <w:sz w:val="22"/>
          <w:szCs w:val="22"/>
        </w:rPr>
        <w:t xml:space="preserve"> je rozdělen na podíl Zlínského kraje a podíl obcí.</w:t>
      </w:r>
      <w:r w:rsidR="00452296" w:rsidRPr="00452296">
        <w:rPr>
          <w:b w:val="0"/>
          <w:bCs w:val="0"/>
          <w:color w:val="auto"/>
          <w:sz w:val="22"/>
          <w:szCs w:val="22"/>
        </w:rPr>
        <w:t xml:space="preserve"> </w:t>
      </w:r>
      <w:r w:rsidR="00793FE2">
        <w:rPr>
          <w:b w:val="0"/>
          <w:bCs w:val="0"/>
          <w:color w:val="auto"/>
          <w:sz w:val="22"/>
          <w:szCs w:val="22"/>
        </w:rPr>
        <w:t>Jedná se o modelaci optimální</w:t>
      </w:r>
      <w:r w:rsidR="000816EA">
        <w:rPr>
          <w:b w:val="0"/>
          <w:bCs w:val="0"/>
          <w:color w:val="auto"/>
          <w:sz w:val="22"/>
          <w:szCs w:val="22"/>
        </w:rPr>
        <w:t>ch</w:t>
      </w:r>
      <w:r w:rsidR="00793FE2">
        <w:rPr>
          <w:b w:val="0"/>
          <w:bCs w:val="0"/>
          <w:color w:val="auto"/>
          <w:sz w:val="22"/>
          <w:szCs w:val="22"/>
        </w:rPr>
        <w:t xml:space="preserve"> podílů </w:t>
      </w:r>
      <w:r w:rsidR="00A95553">
        <w:rPr>
          <w:b w:val="0"/>
          <w:bCs w:val="0"/>
          <w:color w:val="auto"/>
          <w:sz w:val="22"/>
          <w:szCs w:val="22"/>
        </w:rPr>
        <w:t xml:space="preserve">na obvyklých nákladech </w:t>
      </w:r>
      <w:r w:rsidR="00793FE2">
        <w:rPr>
          <w:b w:val="0"/>
          <w:bCs w:val="0"/>
          <w:color w:val="auto"/>
          <w:sz w:val="22"/>
          <w:szCs w:val="22"/>
        </w:rPr>
        <w:t>z jednotlivých ÚSC.</w:t>
      </w:r>
    </w:p>
    <w:p w14:paraId="2DB361F6" w14:textId="5736BF14" w:rsidR="00475554" w:rsidRDefault="00157B87">
      <w:pPr>
        <w:pStyle w:val="Odstavecseseznamem"/>
        <w:numPr>
          <w:ilvl w:val="0"/>
          <w:numId w:val="28"/>
        </w:numPr>
        <w:spacing w:before="120" w:after="120"/>
        <w:ind w:left="425" w:hanging="425"/>
        <w:contextualSpacing w:val="0"/>
        <w:jc w:val="both"/>
      </w:pPr>
      <w:r>
        <w:rPr>
          <w:b/>
        </w:rPr>
        <w:t>Podíl finančních prostředků poskytnutých krajem dle § 101a</w:t>
      </w:r>
      <w:r>
        <w:t xml:space="preserve"> zákona </w:t>
      </w:r>
      <w:r w:rsidR="00077C41">
        <w:t>č. 108/2006 Sb.</w:t>
      </w:r>
      <w:r w:rsidR="0011590D">
        <w:t xml:space="preserve"> </w:t>
      </w:r>
      <w:r>
        <w:t>je modelován jako dorovnání provozní ztráty při modelovaných výnosech základních činností sociálních služeb (včetně podílu územních samosprávných celků).</w:t>
      </w:r>
    </w:p>
    <w:p w14:paraId="55C1D329" w14:textId="77777777" w:rsidR="00475554" w:rsidRDefault="00475554">
      <w:pPr>
        <w:spacing w:before="120" w:after="120"/>
        <w:jc w:val="both"/>
      </w:pPr>
    </w:p>
    <w:p w14:paraId="07CEBFF6" w14:textId="37A25198" w:rsidR="00475554" w:rsidRDefault="00157B87">
      <w:pPr>
        <w:pStyle w:val="Titulek"/>
        <w:spacing w:before="120" w:after="120" w:line="276" w:lineRule="auto"/>
        <w:jc w:val="both"/>
        <w:rPr>
          <w:b w:val="0"/>
          <w:color w:val="000000" w:themeColor="text1"/>
          <w:sz w:val="22"/>
          <w:szCs w:val="22"/>
        </w:rPr>
      </w:pPr>
      <w:bookmarkStart w:id="107" w:name="_Toc230769887"/>
      <w:r>
        <w:rPr>
          <w:color w:val="000000" w:themeColor="text1"/>
          <w:sz w:val="22"/>
          <w:szCs w:val="22"/>
        </w:rPr>
        <w:t>Tabulka č. </w:t>
      </w:r>
      <w:r>
        <w:rPr>
          <w:color w:val="000000" w:themeColor="text1"/>
          <w:sz w:val="22"/>
          <w:szCs w:val="22"/>
        </w:rPr>
        <w:fldChar w:fldCharType="begin"/>
      </w:r>
      <w:r>
        <w:rPr>
          <w:color w:val="000000" w:themeColor="text1"/>
          <w:sz w:val="22"/>
          <w:szCs w:val="22"/>
        </w:rPr>
        <w:instrText xml:space="preserve"> SEQ Tabulka_č. \* ARABIC </w:instrText>
      </w:r>
      <w:r>
        <w:rPr>
          <w:color w:val="000000" w:themeColor="text1"/>
          <w:sz w:val="22"/>
          <w:szCs w:val="22"/>
        </w:rPr>
        <w:fldChar w:fldCharType="separate"/>
      </w:r>
      <w:r w:rsidR="000A1D98">
        <w:rPr>
          <w:noProof/>
          <w:color w:val="000000" w:themeColor="text1"/>
          <w:sz w:val="22"/>
          <w:szCs w:val="22"/>
        </w:rPr>
        <w:t>6</w:t>
      </w:r>
      <w:r>
        <w:rPr>
          <w:color w:val="000000" w:themeColor="text1"/>
          <w:sz w:val="22"/>
          <w:szCs w:val="22"/>
        </w:rPr>
        <w:fldChar w:fldCharType="end"/>
      </w:r>
      <w:r>
        <w:rPr>
          <w:b w:val="0"/>
          <w:color w:val="000000" w:themeColor="text1"/>
          <w:spacing w:val="-4"/>
          <w:sz w:val="22"/>
          <w:szCs w:val="22"/>
        </w:rPr>
        <w:t xml:space="preserve">: Přehled členění druhů ambulantních a terénních služeb sociální péče, </w:t>
      </w:r>
      <w:r>
        <w:rPr>
          <w:b w:val="0"/>
          <w:color w:val="000000" w:themeColor="text1"/>
          <w:sz w:val="22"/>
          <w:szCs w:val="22"/>
        </w:rPr>
        <w:t xml:space="preserve">sociální prevence a sociálního poradenství a předpokládaných podílů územních samosprávných celků na </w:t>
      </w:r>
      <w:r w:rsidR="00A95553">
        <w:rPr>
          <w:b w:val="0"/>
          <w:color w:val="000000" w:themeColor="text1"/>
          <w:sz w:val="22"/>
          <w:szCs w:val="22"/>
        </w:rPr>
        <w:t xml:space="preserve">obvyklých </w:t>
      </w:r>
      <w:r>
        <w:rPr>
          <w:b w:val="0"/>
          <w:color w:val="000000" w:themeColor="text1"/>
          <w:sz w:val="22"/>
          <w:szCs w:val="22"/>
        </w:rPr>
        <w:t>nákladech</w:t>
      </w:r>
      <w:bookmarkEnd w:id="107"/>
    </w:p>
    <w:tbl>
      <w:tblPr>
        <w:tblW w:w="9402" w:type="dxa"/>
        <w:tblInd w:w="-5" w:type="dxa"/>
        <w:tblLayout w:type="fixed"/>
        <w:tblCellMar>
          <w:left w:w="70" w:type="dxa"/>
          <w:right w:w="70" w:type="dxa"/>
        </w:tblCellMar>
        <w:tblLook w:val="04A0" w:firstRow="1" w:lastRow="0" w:firstColumn="1" w:lastColumn="0" w:noHBand="0" w:noVBand="1"/>
      </w:tblPr>
      <w:tblGrid>
        <w:gridCol w:w="2855"/>
        <w:gridCol w:w="1965"/>
        <w:gridCol w:w="1214"/>
        <w:gridCol w:w="1684"/>
        <w:gridCol w:w="1684"/>
      </w:tblGrid>
      <w:tr w:rsidR="00460D54" w14:paraId="6435CCE6" w14:textId="77777777" w:rsidTr="00930724">
        <w:trPr>
          <w:cantSplit/>
          <w:trHeight w:val="454"/>
          <w:tblHeader/>
        </w:trPr>
        <w:tc>
          <w:tcPr>
            <w:tcW w:w="2855"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A701B5" w14:textId="77777777" w:rsidR="00460D54" w:rsidRDefault="00460D54">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 xml:space="preserve">Druh </w:t>
            </w:r>
          </w:p>
          <w:p w14:paraId="1EF93F38" w14:textId="77777777" w:rsidR="00460D54" w:rsidRDefault="00460D54">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sociální služby</w:t>
            </w:r>
          </w:p>
        </w:tc>
        <w:tc>
          <w:tcPr>
            <w:tcW w:w="1965" w:type="dxa"/>
            <w:vMerge w:val="restart"/>
            <w:tcBorders>
              <w:top w:val="single" w:sz="4" w:space="0" w:color="auto"/>
              <w:bottom w:val="single" w:sz="4" w:space="0" w:color="auto"/>
              <w:right w:val="single" w:sz="4" w:space="0" w:color="auto"/>
            </w:tcBorders>
            <w:shd w:val="clear" w:color="auto" w:fill="BFBFBF" w:themeFill="background1" w:themeFillShade="BF"/>
            <w:vAlign w:val="center"/>
          </w:tcPr>
          <w:p w14:paraId="6A1EB454" w14:textId="77777777" w:rsidR="00460D54" w:rsidRDefault="00460D54">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 xml:space="preserve">Jednotka </w:t>
            </w:r>
          </w:p>
          <w:p w14:paraId="36F8ED4F" w14:textId="77777777" w:rsidR="00460D54" w:rsidRDefault="00460D54">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sociální služby</w:t>
            </w:r>
          </w:p>
        </w:tc>
        <w:tc>
          <w:tcPr>
            <w:tcW w:w="1214" w:type="dxa"/>
            <w:vMerge w:val="restart"/>
            <w:tcBorders>
              <w:top w:val="single" w:sz="4" w:space="0" w:color="auto"/>
              <w:bottom w:val="single" w:sz="4" w:space="0" w:color="auto"/>
              <w:right w:val="single" w:sz="4" w:space="0" w:color="auto"/>
            </w:tcBorders>
            <w:shd w:val="clear" w:color="auto" w:fill="BFBFBF" w:themeFill="background1" w:themeFillShade="BF"/>
            <w:vAlign w:val="center"/>
          </w:tcPr>
          <w:p w14:paraId="06B4ADAB" w14:textId="77777777" w:rsidR="00460D54" w:rsidRDefault="00460D54">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Podíl ÚSC celkem</w:t>
            </w:r>
          </w:p>
        </w:tc>
        <w:tc>
          <w:tcPr>
            <w:tcW w:w="3368" w:type="dxa"/>
            <w:gridSpan w:val="2"/>
            <w:tcBorders>
              <w:top w:val="single" w:sz="4" w:space="0" w:color="auto"/>
              <w:bottom w:val="single" w:sz="4" w:space="0" w:color="auto"/>
              <w:right w:val="single" w:sz="4" w:space="0" w:color="auto"/>
            </w:tcBorders>
            <w:shd w:val="clear" w:color="auto" w:fill="BFBFBF" w:themeFill="background1" w:themeFillShade="BF"/>
            <w:vAlign w:val="center"/>
          </w:tcPr>
          <w:p w14:paraId="5C7734EA" w14:textId="77777777" w:rsidR="00460D54" w:rsidRDefault="00460D54">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z toho:</w:t>
            </w:r>
          </w:p>
        </w:tc>
      </w:tr>
      <w:tr w:rsidR="00460D54" w14:paraId="41B86393" w14:textId="77777777" w:rsidTr="00930724">
        <w:trPr>
          <w:cantSplit/>
          <w:trHeight w:val="454"/>
          <w:tblHeader/>
        </w:trPr>
        <w:tc>
          <w:tcPr>
            <w:tcW w:w="2855" w:type="dxa"/>
            <w:vMerge/>
            <w:tcBorders>
              <w:top w:val="single" w:sz="4" w:space="0" w:color="auto"/>
              <w:left w:val="single" w:sz="4" w:space="0" w:color="auto"/>
              <w:bottom w:val="single" w:sz="4" w:space="0" w:color="auto"/>
              <w:right w:val="single" w:sz="4" w:space="0" w:color="auto"/>
            </w:tcBorders>
          </w:tcPr>
          <w:p w14:paraId="7F026FDD" w14:textId="77777777" w:rsidR="00460D54" w:rsidRDefault="00460D54">
            <w:pPr>
              <w:spacing w:before="60" w:after="60" w:line="240" w:lineRule="auto"/>
              <w:rPr>
                <w:rFonts w:ascii="Calibri" w:eastAsia="Times New Roman" w:hAnsi="Calibri" w:cs="Times New Roman"/>
                <w:b/>
                <w:color w:val="000000"/>
                <w:sz w:val="20"/>
                <w:szCs w:val="20"/>
                <w:lang w:eastAsia="cs-CZ"/>
              </w:rPr>
            </w:pPr>
          </w:p>
        </w:tc>
        <w:tc>
          <w:tcPr>
            <w:tcW w:w="1965"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EEA8A5" w14:textId="77777777" w:rsidR="00460D54" w:rsidRDefault="00460D54">
            <w:pPr>
              <w:spacing w:before="60" w:after="60" w:line="240" w:lineRule="auto"/>
              <w:jc w:val="center"/>
              <w:rPr>
                <w:rFonts w:ascii="Calibri" w:eastAsia="Times New Roman" w:hAnsi="Calibri" w:cs="Times New Roman"/>
                <w:b/>
                <w:color w:val="000000"/>
                <w:sz w:val="20"/>
                <w:szCs w:val="20"/>
                <w:lang w:eastAsia="cs-CZ"/>
              </w:rPr>
            </w:pPr>
          </w:p>
        </w:tc>
        <w:tc>
          <w:tcPr>
            <w:tcW w:w="1214" w:type="dxa"/>
            <w:vMerge/>
            <w:tcBorders>
              <w:top w:val="single" w:sz="4" w:space="0" w:color="auto"/>
              <w:left w:val="single" w:sz="4" w:space="0" w:color="auto"/>
              <w:bottom w:val="single" w:sz="4" w:space="0" w:color="auto"/>
              <w:right w:val="single" w:sz="4" w:space="0" w:color="auto"/>
            </w:tcBorders>
            <w:vAlign w:val="center"/>
          </w:tcPr>
          <w:p w14:paraId="09C87D23" w14:textId="77777777" w:rsidR="00460D54" w:rsidRDefault="00460D54">
            <w:pPr>
              <w:spacing w:before="60" w:after="60" w:line="240" w:lineRule="auto"/>
              <w:jc w:val="center"/>
              <w:rPr>
                <w:rFonts w:ascii="Calibri" w:eastAsia="Times New Roman" w:hAnsi="Calibri" w:cs="Times New Roman"/>
                <w:b/>
                <w:color w:val="000000"/>
                <w:sz w:val="20"/>
                <w:szCs w:val="20"/>
                <w:lang w:eastAsia="cs-CZ"/>
              </w:rPr>
            </w:pPr>
          </w:p>
        </w:tc>
        <w:tc>
          <w:tcPr>
            <w:tcW w:w="168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756E38" w14:textId="77777777" w:rsidR="00460D54" w:rsidRDefault="00460D54">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Podíl ZK</w:t>
            </w:r>
          </w:p>
        </w:tc>
        <w:tc>
          <w:tcPr>
            <w:tcW w:w="1684" w:type="dxa"/>
            <w:tcBorders>
              <w:top w:val="single" w:sz="4" w:space="0" w:color="auto"/>
              <w:bottom w:val="single" w:sz="4" w:space="0" w:color="auto"/>
              <w:right w:val="single" w:sz="4" w:space="0" w:color="auto"/>
            </w:tcBorders>
            <w:shd w:val="clear" w:color="auto" w:fill="BFBFBF" w:themeFill="background1" w:themeFillShade="BF"/>
            <w:vAlign w:val="center"/>
          </w:tcPr>
          <w:p w14:paraId="131257A0" w14:textId="77777777" w:rsidR="00460D54" w:rsidRDefault="00460D54">
            <w:pPr>
              <w:spacing w:before="60" w:after="60" w:line="240" w:lineRule="auto"/>
              <w:jc w:val="center"/>
              <w:rPr>
                <w:rFonts w:ascii="Calibri" w:eastAsia="Times New Roman" w:hAnsi="Calibri" w:cs="Times New Roman"/>
                <w:b/>
                <w:color w:val="000000"/>
                <w:sz w:val="20"/>
                <w:szCs w:val="20"/>
                <w:lang w:eastAsia="cs-CZ"/>
              </w:rPr>
            </w:pPr>
            <w:r>
              <w:rPr>
                <w:rFonts w:ascii="Calibri" w:eastAsia="Times New Roman" w:hAnsi="Calibri" w:cs="Times New Roman"/>
                <w:b/>
                <w:color w:val="000000"/>
                <w:sz w:val="20"/>
                <w:szCs w:val="20"/>
                <w:lang w:eastAsia="cs-CZ"/>
              </w:rPr>
              <w:t>Podíl OBCÍ</w:t>
            </w:r>
          </w:p>
        </w:tc>
      </w:tr>
      <w:tr w:rsidR="00460D54" w14:paraId="2180D45C"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59D0DF0F" w14:textId="77777777" w:rsidR="00460D54" w:rsidRDefault="00460D54">
            <w:pPr>
              <w:spacing w:before="60" w:after="60" w:line="240" w:lineRule="auto"/>
              <w:rPr>
                <w:rFonts w:ascii="Calibri" w:hAnsi="Calibri"/>
                <w:color w:val="000000"/>
                <w:sz w:val="20"/>
                <w:szCs w:val="20"/>
              </w:rPr>
            </w:pPr>
            <w:r>
              <w:rPr>
                <w:rFonts w:ascii="Calibri" w:hAnsi="Calibri"/>
                <w:color w:val="000000"/>
                <w:sz w:val="20"/>
                <w:szCs w:val="20"/>
              </w:rPr>
              <w:t>Centra denních služeb</w:t>
            </w:r>
          </w:p>
        </w:tc>
        <w:tc>
          <w:tcPr>
            <w:tcW w:w="1965" w:type="dxa"/>
            <w:tcBorders>
              <w:top w:val="single" w:sz="4" w:space="0" w:color="auto"/>
              <w:bottom w:val="single" w:sz="4" w:space="0" w:color="auto"/>
              <w:right w:val="single" w:sz="4" w:space="0" w:color="auto"/>
            </w:tcBorders>
            <w:vAlign w:val="center"/>
          </w:tcPr>
          <w:p w14:paraId="49BDBF9B" w14:textId="77777777" w:rsidR="00460D54" w:rsidRDefault="00460D54">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0F6C6744" w14:textId="77777777" w:rsidR="00460D54" w:rsidRDefault="00460D54">
            <w:pPr>
              <w:spacing w:before="60" w:after="60" w:line="240" w:lineRule="auto"/>
              <w:jc w:val="center"/>
              <w:rPr>
                <w:color w:val="000000"/>
                <w:sz w:val="20"/>
                <w:szCs w:val="20"/>
              </w:rPr>
            </w:pPr>
            <w:r>
              <w:rPr>
                <w:rFonts w:ascii="Calibri" w:hAnsi="Calibri"/>
                <w:color w:val="000000"/>
                <w:sz w:val="20"/>
                <w:szCs w:val="20"/>
              </w:rPr>
              <w:t>20 %</w:t>
            </w:r>
          </w:p>
        </w:tc>
        <w:tc>
          <w:tcPr>
            <w:tcW w:w="1684" w:type="dxa"/>
            <w:tcBorders>
              <w:top w:val="single" w:sz="4" w:space="0" w:color="auto"/>
              <w:bottom w:val="single" w:sz="4" w:space="0" w:color="auto"/>
              <w:right w:val="single" w:sz="4" w:space="0" w:color="auto"/>
            </w:tcBorders>
            <w:vAlign w:val="center"/>
          </w:tcPr>
          <w:p w14:paraId="4CC259E5" w14:textId="77777777" w:rsidR="00460D54" w:rsidRDefault="00460D54">
            <w:pPr>
              <w:spacing w:before="60" w:after="60" w:line="240" w:lineRule="auto"/>
              <w:jc w:val="center"/>
              <w:rPr>
                <w:color w:val="000000"/>
                <w:sz w:val="20"/>
                <w:szCs w:val="20"/>
              </w:rPr>
            </w:pPr>
            <w:r>
              <w:rPr>
                <w:rFonts w:ascii="Calibri" w:hAnsi="Calibri"/>
                <w:color w:val="000000"/>
                <w:sz w:val="20"/>
                <w:szCs w:val="20"/>
              </w:rPr>
              <w:t>6,7 %</w:t>
            </w:r>
          </w:p>
        </w:tc>
        <w:tc>
          <w:tcPr>
            <w:tcW w:w="1684" w:type="dxa"/>
            <w:tcBorders>
              <w:top w:val="single" w:sz="4" w:space="0" w:color="auto"/>
              <w:bottom w:val="single" w:sz="4" w:space="0" w:color="auto"/>
              <w:right w:val="single" w:sz="4" w:space="0" w:color="auto"/>
            </w:tcBorders>
            <w:vAlign w:val="center"/>
          </w:tcPr>
          <w:p w14:paraId="56FF76E3" w14:textId="77777777" w:rsidR="00460D54" w:rsidRDefault="00460D54">
            <w:pPr>
              <w:spacing w:before="60" w:after="60" w:line="240" w:lineRule="auto"/>
              <w:jc w:val="center"/>
              <w:rPr>
                <w:color w:val="000000"/>
                <w:sz w:val="20"/>
                <w:szCs w:val="20"/>
              </w:rPr>
            </w:pPr>
            <w:r>
              <w:rPr>
                <w:rFonts w:ascii="Calibri" w:hAnsi="Calibri"/>
                <w:color w:val="000000"/>
                <w:sz w:val="20"/>
                <w:szCs w:val="20"/>
              </w:rPr>
              <w:t>13,3 %</w:t>
            </w:r>
          </w:p>
        </w:tc>
      </w:tr>
      <w:tr w:rsidR="00460D54" w14:paraId="0D5A2997"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3DD91F29" w14:textId="556B45A0" w:rsidR="00460D54" w:rsidRDefault="00460D54" w:rsidP="009621F0">
            <w:pPr>
              <w:spacing w:before="60" w:after="60" w:line="240" w:lineRule="auto"/>
              <w:rPr>
                <w:rFonts w:ascii="Calibri" w:hAnsi="Calibri"/>
                <w:color w:val="000000"/>
                <w:sz w:val="20"/>
                <w:szCs w:val="20"/>
              </w:rPr>
            </w:pPr>
            <w:r>
              <w:rPr>
                <w:rFonts w:ascii="Calibri" w:eastAsia="Times New Roman" w:hAnsi="Calibri" w:cs="Times New Roman"/>
                <w:color w:val="000000"/>
                <w:sz w:val="20"/>
                <w:szCs w:val="20"/>
                <w:lang w:eastAsia="cs-CZ"/>
              </w:rPr>
              <w:t>Centrum duševního zdraví</w:t>
            </w:r>
          </w:p>
        </w:tc>
        <w:tc>
          <w:tcPr>
            <w:tcW w:w="1965" w:type="dxa"/>
            <w:tcBorders>
              <w:top w:val="single" w:sz="4" w:space="0" w:color="auto"/>
              <w:bottom w:val="single" w:sz="4" w:space="0" w:color="auto"/>
              <w:right w:val="single" w:sz="4" w:space="0" w:color="auto"/>
            </w:tcBorders>
            <w:vAlign w:val="center"/>
          </w:tcPr>
          <w:p w14:paraId="3BB2E26A" w14:textId="0F5AF274" w:rsidR="00460D54" w:rsidRDefault="00460D54" w:rsidP="009621F0">
            <w:pPr>
              <w:spacing w:before="60" w:after="60" w:line="240" w:lineRule="auto"/>
              <w:rPr>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58A4CCD4" w14:textId="2F141220"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20 %</w:t>
            </w:r>
          </w:p>
        </w:tc>
        <w:tc>
          <w:tcPr>
            <w:tcW w:w="1684" w:type="dxa"/>
            <w:tcBorders>
              <w:top w:val="single" w:sz="4" w:space="0" w:color="auto"/>
              <w:bottom w:val="single" w:sz="4" w:space="0" w:color="auto"/>
              <w:right w:val="single" w:sz="4" w:space="0" w:color="auto"/>
            </w:tcBorders>
            <w:vAlign w:val="center"/>
          </w:tcPr>
          <w:p w14:paraId="4552D66E" w14:textId="30082221"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6,7 %</w:t>
            </w:r>
          </w:p>
        </w:tc>
        <w:tc>
          <w:tcPr>
            <w:tcW w:w="1684" w:type="dxa"/>
            <w:tcBorders>
              <w:top w:val="single" w:sz="4" w:space="0" w:color="auto"/>
              <w:bottom w:val="single" w:sz="4" w:space="0" w:color="auto"/>
              <w:right w:val="single" w:sz="4" w:space="0" w:color="auto"/>
            </w:tcBorders>
            <w:vAlign w:val="center"/>
          </w:tcPr>
          <w:p w14:paraId="15F905A4" w14:textId="431210EC"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13,3 %</w:t>
            </w:r>
          </w:p>
        </w:tc>
      </w:tr>
      <w:tr w:rsidR="00460D54" w14:paraId="1A8FD667"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665F847E" w14:textId="77777777" w:rsidR="00460D54" w:rsidRDefault="00460D54" w:rsidP="009621F0">
            <w:pPr>
              <w:spacing w:before="60" w:after="60" w:line="240" w:lineRule="auto"/>
              <w:rPr>
                <w:rFonts w:ascii="Calibri" w:hAnsi="Calibri"/>
                <w:color w:val="000000"/>
                <w:sz w:val="20"/>
                <w:szCs w:val="20"/>
              </w:rPr>
            </w:pPr>
            <w:r>
              <w:rPr>
                <w:rFonts w:ascii="Calibri" w:hAnsi="Calibri"/>
                <w:color w:val="000000"/>
                <w:sz w:val="20"/>
                <w:szCs w:val="20"/>
              </w:rPr>
              <w:t>Denní stacionáře</w:t>
            </w:r>
          </w:p>
        </w:tc>
        <w:tc>
          <w:tcPr>
            <w:tcW w:w="1965" w:type="dxa"/>
            <w:tcBorders>
              <w:top w:val="single" w:sz="4" w:space="0" w:color="auto"/>
              <w:bottom w:val="single" w:sz="4" w:space="0" w:color="auto"/>
              <w:right w:val="single" w:sz="4" w:space="0" w:color="auto"/>
            </w:tcBorders>
            <w:vAlign w:val="center"/>
          </w:tcPr>
          <w:p w14:paraId="0FC86A37"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169F79E7"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15 %</w:t>
            </w:r>
          </w:p>
        </w:tc>
        <w:tc>
          <w:tcPr>
            <w:tcW w:w="1684" w:type="dxa"/>
            <w:tcBorders>
              <w:top w:val="single" w:sz="4" w:space="0" w:color="auto"/>
              <w:bottom w:val="single" w:sz="4" w:space="0" w:color="auto"/>
              <w:right w:val="single" w:sz="4" w:space="0" w:color="auto"/>
            </w:tcBorders>
            <w:vAlign w:val="center"/>
          </w:tcPr>
          <w:p w14:paraId="7F14560D"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5 %</w:t>
            </w:r>
          </w:p>
        </w:tc>
        <w:tc>
          <w:tcPr>
            <w:tcW w:w="1684" w:type="dxa"/>
            <w:tcBorders>
              <w:top w:val="single" w:sz="4" w:space="0" w:color="auto"/>
              <w:bottom w:val="single" w:sz="4" w:space="0" w:color="auto"/>
              <w:right w:val="single" w:sz="4" w:space="0" w:color="auto"/>
            </w:tcBorders>
            <w:vAlign w:val="center"/>
          </w:tcPr>
          <w:p w14:paraId="4A362755"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10 %</w:t>
            </w:r>
          </w:p>
        </w:tc>
      </w:tr>
      <w:tr w:rsidR="00460D54" w14:paraId="28DBC093"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1B20DDD3" w14:textId="77777777" w:rsidR="00460D54" w:rsidRDefault="00460D54" w:rsidP="009621F0">
            <w:pPr>
              <w:spacing w:before="60" w:after="60" w:line="240" w:lineRule="auto"/>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Intervenční centra</w:t>
            </w:r>
          </w:p>
        </w:tc>
        <w:tc>
          <w:tcPr>
            <w:tcW w:w="1965" w:type="dxa"/>
            <w:tcBorders>
              <w:top w:val="single" w:sz="4" w:space="0" w:color="auto"/>
              <w:bottom w:val="single" w:sz="4" w:space="0" w:color="auto"/>
              <w:right w:val="single" w:sz="4" w:space="0" w:color="auto"/>
            </w:tcBorders>
            <w:vAlign w:val="center"/>
          </w:tcPr>
          <w:p w14:paraId="03423C29"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1F0AAFC3" w14:textId="77777777" w:rsidR="00460D54" w:rsidRDefault="00460D54" w:rsidP="009621F0">
            <w:pPr>
              <w:spacing w:before="60" w:after="60" w:line="240" w:lineRule="auto"/>
              <w:jc w:val="center"/>
              <w:rPr>
                <w:color w:val="000000"/>
                <w:sz w:val="20"/>
                <w:szCs w:val="20"/>
              </w:rPr>
            </w:pPr>
            <w:r>
              <w:rPr>
                <w:rFonts w:ascii="Calibri" w:hAnsi="Calibri"/>
                <w:color w:val="000000"/>
                <w:sz w:val="20"/>
                <w:szCs w:val="20"/>
              </w:rPr>
              <w:t>13 %</w:t>
            </w:r>
          </w:p>
        </w:tc>
        <w:tc>
          <w:tcPr>
            <w:tcW w:w="1684" w:type="dxa"/>
            <w:tcBorders>
              <w:top w:val="single" w:sz="4" w:space="0" w:color="auto"/>
              <w:bottom w:val="single" w:sz="4" w:space="0" w:color="auto"/>
              <w:right w:val="single" w:sz="4" w:space="0" w:color="auto"/>
            </w:tcBorders>
            <w:vAlign w:val="center"/>
          </w:tcPr>
          <w:p w14:paraId="78058E86" w14:textId="77777777" w:rsidR="00460D54" w:rsidRDefault="00460D54" w:rsidP="009621F0">
            <w:pPr>
              <w:spacing w:before="60" w:after="60" w:line="240" w:lineRule="auto"/>
              <w:jc w:val="center"/>
              <w:rPr>
                <w:color w:val="000000"/>
                <w:sz w:val="20"/>
                <w:szCs w:val="20"/>
              </w:rPr>
            </w:pPr>
            <w:r>
              <w:rPr>
                <w:rFonts w:ascii="Calibri" w:hAnsi="Calibri"/>
                <w:color w:val="000000"/>
                <w:sz w:val="20"/>
                <w:szCs w:val="20"/>
              </w:rPr>
              <w:t>4,3 %</w:t>
            </w:r>
          </w:p>
        </w:tc>
        <w:tc>
          <w:tcPr>
            <w:tcW w:w="1684" w:type="dxa"/>
            <w:tcBorders>
              <w:top w:val="single" w:sz="4" w:space="0" w:color="auto"/>
              <w:bottom w:val="single" w:sz="4" w:space="0" w:color="auto"/>
              <w:right w:val="single" w:sz="4" w:space="0" w:color="auto"/>
            </w:tcBorders>
            <w:vAlign w:val="center"/>
          </w:tcPr>
          <w:p w14:paraId="0839B4DA" w14:textId="77777777" w:rsidR="00460D54" w:rsidRDefault="00460D54" w:rsidP="009621F0">
            <w:pPr>
              <w:spacing w:before="60" w:after="60" w:line="240" w:lineRule="auto"/>
              <w:jc w:val="center"/>
              <w:rPr>
                <w:color w:val="000000"/>
                <w:sz w:val="20"/>
                <w:szCs w:val="20"/>
              </w:rPr>
            </w:pPr>
            <w:r>
              <w:rPr>
                <w:rFonts w:ascii="Calibri" w:hAnsi="Calibri"/>
                <w:color w:val="000000"/>
                <w:sz w:val="20"/>
                <w:szCs w:val="20"/>
              </w:rPr>
              <w:t>8,7 %</w:t>
            </w:r>
          </w:p>
        </w:tc>
      </w:tr>
      <w:tr w:rsidR="00460D54" w14:paraId="1F9C996F"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117795C8" w14:textId="77777777" w:rsidR="00460D54" w:rsidRDefault="00460D54" w:rsidP="009621F0">
            <w:pPr>
              <w:spacing w:before="60" w:after="60" w:line="240" w:lineRule="auto"/>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 xml:space="preserve">Kontaktní centra </w:t>
            </w:r>
          </w:p>
        </w:tc>
        <w:tc>
          <w:tcPr>
            <w:tcW w:w="1965" w:type="dxa"/>
            <w:tcBorders>
              <w:top w:val="single" w:sz="4" w:space="0" w:color="auto"/>
              <w:bottom w:val="single" w:sz="4" w:space="0" w:color="auto"/>
              <w:right w:val="single" w:sz="4" w:space="0" w:color="auto"/>
            </w:tcBorders>
            <w:vAlign w:val="center"/>
          </w:tcPr>
          <w:p w14:paraId="79F9A347"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78F9E2C9"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35 %</w:t>
            </w:r>
          </w:p>
        </w:tc>
        <w:tc>
          <w:tcPr>
            <w:tcW w:w="1684" w:type="dxa"/>
            <w:tcBorders>
              <w:top w:val="single" w:sz="4" w:space="0" w:color="auto"/>
              <w:bottom w:val="single" w:sz="4" w:space="0" w:color="auto"/>
              <w:right w:val="single" w:sz="4" w:space="0" w:color="auto"/>
            </w:tcBorders>
            <w:vAlign w:val="center"/>
          </w:tcPr>
          <w:p w14:paraId="257E2CF0"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11,7 %</w:t>
            </w:r>
          </w:p>
        </w:tc>
        <w:tc>
          <w:tcPr>
            <w:tcW w:w="1684" w:type="dxa"/>
            <w:tcBorders>
              <w:top w:val="single" w:sz="4" w:space="0" w:color="auto"/>
              <w:bottom w:val="single" w:sz="4" w:space="0" w:color="auto"/>
              <w:right w:val="single" w:sz="4" w:space="0" w:color="auto"/>
            </w:tcBorders>
            <w:vAlign w:val="center"/>
          </w:tcPr>
          <w:p w14:paraId="748EA6A9"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23,3 %</w:t>
            </w:r>
          </w:p>
        </w:tc>
      </w:tr>
      <w:tr w:rsidR="00460D54" w14:paraId="15A76585"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55B6EA80" w14:textId="77777777" w:rsidR="00460D54" w:rsidRDefault="00460D54" w:rsidP="009621F0">
            <w:pPr>
              <w:spacing w:before="60" w:after="60" w:line="240" w:lineRule="auto"/>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Krizová pomoc</w:t>
            </w:r>
          </w:p>
        </w:tc>
        <w:tc>
          <w:tcPr>
            <w:tcW w:w="1965" w:type="dxa"/>
            <w:tcBorders>
              <w:top w:val="single" w:sz="4" w:space="0" w:color="auto"/>
              <w:bottom w:val="single" w:sz="4" w:space="0" w:color="auto"/>
              <w:right w:val="single" w:sz="4" w:space="0" w:color="auto"/>
            </w:tcBorders>
            <w:vAlign w:val="center"/>
          </w:tcPr>
          <w:p w14:paraId="24A59945"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7FF5B8CA" w14:textId="77777777" w:rsidR="00460D54" w:rsidRDefault="00460D54" w:rsidP="009621F0">
            <w:pPr>
              <w:spacing w:before="60" w:after="60" w:line="240" w:lineRule="auto"/>
              <w:jc w:val="center"/>
              <w:rPr>
                <w:color w:val="000000"/>
                <w:sz w:val="20"/>
                <w:szCs w:val="20"/>
              </w:rPr>
            </w:pPr>
            <w:r>
              <w:rPr>
                <w:rFonts w:ascii="Calibri" w:eastAsia="Times New Roman" w:hAnsi="Calibri" w:cs="Times New Roman"/>
                <w:color w:val="000000"/>
                <w:sz w:val="20"/>
                <w:szCs w:val="20"/>
                <w:lang w:eastAsia="cs-CZ"/>
              </w:rPr>
              <w:t>13 %</w:t>
            </w:r>
          </w:p>
        </w:tc>
        <w:tc>
          <w:tcPr>
            <w:tcW w:w="1684" w:type="dxa"/>
            <w:tcBorders>
              <w:top w:val="single" w:sz="4" w:space="0" w:color="auto"/>
              <w:bottom w:val="single" w:sz="4" w:space="0" w:color="auto"/>
              <w:right w:val="single" w:sz="4" w:space="0" w:color="auto"/>
            </w:tcBorders>
            <w:vAlign w:val="center"/>
          </w:tcPr>
          <w:p w14:paraId="10BF1D97" w14:textId="77777777" w:rsidR="00460D54" w:rsidRDefault="00460D54" w:rsidP="009621F0">
            <w:pPr>
              <w:spacing w:before="60" w:after="60" w:line="240" w:lineRule="auto"/>
              <w:jc w:val="center"/>
              <w:rPr>
                <w:color w:val="000000"/>
                <w:sz w:val="20"/>
                <w:szCs w:val="20"/>
              </w:rPr>
            </w:pPr>
            <w:r>
              <w:rPr>
                <w:rFonts w:ascii="Calibri" w:hAnsi="Calibri"/>
                <w:color w:val="000000"/>
                <w:sz w:val="20"/>
                <w:szCs w:val="20"/>
              </w:rPr>
              <w:t>4,3 %</w:t>
            </w:r>
          </w:p>
        </w:tc>
        <w:tc>
          <w:tcPr>
            <w:tcW w:w="1684" w:type="dxa"/>
            <w:tcBorders>
              <w:top w:val="single" w:sz="4" w:space="0" w:color="auto"/>
              <w:bottom w:val="single" w:sz="4" w:space="0" w:color="auto"/>
              <w:right w:val="single" w:sz="4" w:space="0" w:color="auto"/>
            </w:tcBorders>
            <w:vAlign w:val="center"/>
          </w:tcPr>
          <w:p w14:paraId="0EDED53E" w14:textId="77777777" w:rsidR="00460D54" w:rsidRDefault="00460D54" w:rsidP="009621F0">
            <w:pPr>
              <w:spacing w:before="60" w:after="60" w:line="240" w:lineRule="auto"/>
              <w:jc w:val="center"/>
              <w:rPr>
                <w:color w:val="000000"/>
                <w:sz w:val="20"/>
                <w:szCs w:val="20"/>
              </w:rPr>
            </w:pPr>
            <w:r>
              <w:rPr>
                <w:rFonts w:ascii="Calibri" w:hAnsi="Calibri"/>
                <w:color w:val="000000"/>
                <w:sz w:val="20"/>
                <w:szCs w:val="20"/>
              </w:rPr>
              <w:t>8,7 %</w:t>
            </w:r>
          </w:p>
        </w:tc>
      </w:tr>
      <w:tr w:rsidR="00460D54" w14:paraId="25DC90A6"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51EE696B" w14:textId="77777777" w:rsidR="00460D54" w:rsidRDefault="00460D54" w:rsidP="009621F0">
            <w:pPr>
              <w:spacing w:before="60" w:after="60" w:line="240" w:lineRule="auto"/>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Nízkoprahová denní centra</w:t>
            </w:r>
          </w:p>
        </w:tc>
        <w:tc>
          <w:tcPr>
            <w:tcW w:w="1965" w:type="dxa"/>
            <w:tcBorders>
              <w:top w:val="single" w:sz="4" w:space="0" w:color="auto"/>
              <w:bottom w:val="single" w:sz="4" w:space="0" w:color="auto"/>
              <w:right w:val="single" w:sz="4" w:space="0" w:color="auto"/>
            </w:tcBorders>
            <w:vAlign w:val="center"/>
          </w:tcPr>
          <w:p w14:paraId="7099583D"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45DB0ECD" w14:textId="77777777" w:rsidR="00460D54" w:rsidRDefault="00460D54" w:rsidP="009621F0">
            <w:pPr>
              <w:spacing w:before="60" w:after="60" w:line="240" w:lineRule="auto"/>
              <w:jc w:val="center"/>
              <w:rPr>
                <w:color w:val="000000"/>
                <w:sz w:val="20"/>
                <w:szCs w:val="20"/>
              </w:rPr>
            </w:pPr>
            <w:r>
              <w:rPr>
                <w:rFonts w:ascii="Calibri" w:eastAsia="Times New Roman" w:hAnsi="Calibri" w:cs="Times New Roman"/>
                <w:color w:val="000000"/>
                <w:sz w:val="20"/>
                <w:szCs w:val="20"/>
                <w:lang w:eastAsia="cs-CZ"/>
              </w:rPr>
              <w:t>15 %</w:t>
            </w:r>
          </w:p>
        </w:tc>
        <w:tc>
          <w:tcPr>
            <w:tcW w:w="1684" w:type="dxa"/>
            <w:tcBorders>
              <w:top w:val="single" w:sz="4" w:space="0" w:color="auto"/>
              <w:bottom w:val="single" w:sz="4" w:space="0" w:color="auto"/>
              <w:right w:val="single" w:sz="4" w:space="0" w:color="auto"/>
            </w:tcBorders>
            <w:vAlign w:val="center"/>
          </w:tcPr>
          <w:p w14:paraId="7FD3A503" w14:textId="77777777" w:rsidR="00460D54" w:rsidRDefault="00460D54" w:rsidP="009621F0">
            <w:pPr>
              <w:spacing w:before="60" w:after="60" w:line="240" w:lineRule="auto"/>
              <w:jc w:val="center"/>
              <w:rPr>
                <w:color w:val="000000"/>
                <w:sz w:val="20"/>
                <w:szCs w:val="20"/>
              </w:rPr>
            </w:pPr>
            <w:r>
              <w:rPr>
                <w:rFonts w:ascii="Calibri" w:eastAsia="Times New Roman" w:hAnsi="Calibri" w:cs="Times New Roman"/>
                <w:color w:val="000000"/>
                <w:sz w:val="20"/>
                <w:szCs w:val="20"/>
                <w:lang w:eastAsia="cs-CZ"/>
              </w:rPr>
              <w:t>5 %</w:t>
            </w:r>
          </w:p>
        </w:tc>
        <w:tc>
          <w:tcPr>
            <w:tcW w:w="1684" w:type="dxa"/>
            <w:tcBorders>
              <w:top w:val="single" w:sz="4" w:space="0" w:color="auto"/>
              <w:bottom w:val="single" w:sz="4" w:space="0" w:color="auto"/>
              <w:right w:val="single" w:sz="4" w:space="0" w:color="auto"/>
            </w:tcBorders>
            <w:vAlign w:val="center"/>
          </w:tcPr>
          <w:p w14:paraId="756E5C6C" w14:textId="77777777" w:rsidR="00460D54" w:rsidRDefault="00460D54" w:rsidP="009621F0">
            <w:pPr>
              <w:spacing w:before="60" w:after="60" w:line="240" w:lineRule="auto"/>
              <w:jc w:val="center"/>
              <w:rPr>
                <w:color w:val="000000"/>
                <w:sz w:val="20"/>
                <w:szCs w:val="20"/>
              </w:rPr>
            </w:pPr>
            <w:r>
              <w:rPr>
                <w:rFonts w:ascii="Calibri" w:eastAsia="Times New Roman" w:hAnsi="Calibri" w:cs="Times New Roman"/>
                <w:color w:val="000000"/>
                <w:sz w:val="20"/>
                <w:szCs w:val="20"/>
                <w:lang w:eastAsia="cs-CZ"/>
              </w:rPr>
              <w:t>10 %</w:t>
            </w:r>
          </w:p>
        </w:tc>
      </w:tr>
      <w:tr w:rsidR="00460D54" w14:paraId="7343F8D1"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19A5FC0F" w14:textId="77777777" w:rsidR="00460D54" w:rsidRDefault="00460D54" w:rsidP="009621F0">
            <w:pPr>
              <w:spacing w:before="60" w:after="60" w:line="240" w:lineRule="auto"/>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Nízkoprahová zařízení pro děti a mládež</w:t>
            </w:r>
          </w:p>
        </w:tc>
        <w:tc>
          <w:tcPr>
            <w:tcW w:w="1965" w:type="dxa"/>
            <w:tcBorders>
              <w:top w:val="single" w:sz="4" w:space="0" w:color="auto"/>
              <w:bottom w:val="single" w:sz="4" w:space="0" w:color="auto"/>
              <w:right w:val="single" w:sz="4" w:space="0" w:color="auto"/>
            </w:tcBorders>
            <w:vAlign w:val="center"/>
          </w:tcPr>
          <w:p w14:paraId="5D95117A"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3ACC7034"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20 %</w:t>
            </w:r>
          </w:p>
        </w:tc>
        <w:tc>
          <w:tcPr>
            <w:tcW w:w="1684" w:type="dxa"/>
            <w:tcBorders>
              <w:top w:val="single" w:sz="4" w:space="0" w:color="auto"/>
              <w:bottom w:val="single" w:sz="4" w:space="0" w:color="auto"/>
              <w:right w:val="single" w:sz="4" w:space="0" w:color="auto"/>
            </w:tcBorders>
            <w:vAlign w:val="center"/>
          </w:tcPr>
          <w:p w14:paraId="4FF95088"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6,7 %</w:t>
            </w:r>
          </w:p>
        </w:tc>
        <w:tc>
          <w:tcPr>
            <w:tcW w:w="1684" w:type="dxa"/>
            <w:tcBorders>
              <w:top w:val="single" w:sz="4" w:space="0" w:color="auto"/>
              <w:bottom w:val="single" w:sz="4" w:space="0" w:color="auto"/>
              <w:right w:val="single" w:sz="4" w:space="0" w:color="auto"/>
            </w:tcBorders>
            <w:vAlign w:val="center"/>
          </w:tcPr>
          <w:p w14:paraId="2A9362D9"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13,3 %</w:t>
            </w:r>
          </w:p>
        </w:tc>
      </w:tr>
      <w:tr w:rsidR="00460D54" w14:paraId="4060015D"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11AD6FE7" w14:textId="77777777" w:rsidR="00460D54" w:rsidRDefault="00460D54" w:rsidP="009621F0">
            <w:pPr>
              <w:spacing w:before="60" w:after="60" w:line="240" w:lineRule="auto"/>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Noclehárny</w:t>
            </w:r>
          </w:p>
        </w:tc>
        <w:tc>
          <w:tcPr>
            <w:tcW w:w="1965" w:type="dxa"/>
            <w:tcBorders>
              <w:top w:val="single" w:sz="4" w:space="0" w:color="auto"/>
              <w:bottom w:val="single" w:sz="4" w:space="0" w:color="auto"/>
              <w:right w:val="single" w:sz="4" w:space="0" w:color="auto"/>
            </w:tcBorders>
            <w:vAlign w:val="center"/>
          </w:tcPr>
          <w:p w14:paraId="3D24175E" w14:textId="77777777" w:rsidR="00460D54" w:rsidRDefault="00460D54" w:rsidP="009621F0">
            <w:pPr>
              <w:spacing w:before="60" w:after="60" w:line="240" w:lineRule="auto"/>
              <w:rPr>
                <w:rFonts w:ascii="Calibri" w:hAnsi="Calibri"/>
                <w:color w:val="000000"/>
                <w:sz w:val="20"/>
                <w:szCs w:val="20"/>
              </w:rPr>
            </w:pPr>
            <w:r>
              <w:rPr>
                <w:sz w:val="20"/>
                <w:szCs w:val="20"/>
              </w:rPr>
              <w:t>Lůžko</w:t>
            </w:r>
          </w:p>
        </w:tc>
        <w:tc>
          <w:tcPr>
            <w:tcW w:w="1214" w:type="dxa"/>
            <w:tcBorders>
              <w:top w:val="single" w:sz="4" w:space="0" w:color="auto"/>
              <w:bottom w:val="single" w:sz="4" w:space="0" w:color="auto"/>
              <w:right w:val="single" w:sz="4" w:space="0" w:color="auto"/>
            </w:tcBorders>
            <w:vAlign w:val="center"/>
          </w:tcPr>
          <w:p w14:paraId="2CA135DC" w14:textId="77777777" w:rsidR="00460D54" w:rsidRDefault="00460D54" w:rsidP="009621F0">
            <w:pPr>
              <w:spacing w:before="60" w:after="60" w:line="240" w:lineRule="auto"/>
              <w:jc w:val="center"/>
              <w:rPr>
                <w:color w:val="000000"/>
                <w:sz w:val="20"/>
                <w:szCs w:val="20"/>
              </w:rPr>
            </w:pPr>
            <w:r>
              <w:rPr>
                <w:rFonts w:ascii="Calibri" w:eastAsia="Times New Roman" w:hAnsi="Calibri" w:cs="Times New Roman"/>
                <w:color w:val="000000"/>
                <w:sz w:val="20"/>
                <w:szCs w:val="20"/>
                <w:lang w:eastAsia="cs-CZ"/>
              </w:rPr>
              <w:t>10 %</w:t>
            </w:r>
          </w:p>
        </w:tc>
        <w:tc>
          <w:tcPr>
            <w:tcW w:w="1684" w:type="dxa"/>
            <w:tcBorders>
              <w:top w:val="single" w:sz="4" w:space="0" w:color="auto"/>
              <w:bottom w:val="single" w:sz="4" w:space="0" w:color="auto"/>
              <w:right w:val="single" w:sz="4" w:space="0" w:color="auto"/>
            </w:tcBorders>
            <w:vAlign w:val="center"/>
          </w:tcPr>
          <w:p w14:paraId="3F9C020D" w14:textId="77777777" w:rsidR="00460D54" w:rsidRDefault="00460D54" w:rsidP="009621F0">
            <w:pPr>
              <w:spacing w:before="60" w:after="60" w:line="240" w:lineRule="auto"/>
              <w:jc w:val="center"/>
              <w:rPr>
                <w:color w:val="000000"/>
                <w:sz w:val="20"/>
                <w:szCs w:val="20"/>
              </w:rPr>
            </w:pPr>
            <w:r>
              <w:rPr>
                <w:rFonts w:ascii="Calibri" w:eastAsia="Times New Roman" w:hAnsi="Calibri" w:cs="Times New Roman"/>
                <w:color w:val="000000"/>
                <w:sz w:val="20"/>
                <w:szCs w:val="20"/>
                <w:lang w:eastAsia="cs-CZ"/>
              </w:rPr>
              <w:t>3,3 %</w:t>
            </w:r>
          </w:p>
        </w:tc>
        <w:tc>
          <w:tcPr>
            <w:tcW w:w="1684" w:type="dxa"/>
            <w:tcBorders>
              <w:top w:val="single" w:sz="4" w:space="0" w:color="auto"/>
              <w:bottom w:val="single" w:sz="4" w:space="0" w:color="auto"/>
              <w:right w:val="single" w:sz="4" w:space="0" w:color="auto"/>
            </w:tcBorders>
            <w:vAlign w:val="center"/>
          </w:tcPr>
          <w:p w14:paraId="5F07915A" w14:textId="77777777" w:rsidR="00460D54" w:rsidRDefault="00460D54" w:rsidP="009621F0">
            <w:pPr>
              <w:spacing w:before="60" w:after="60" w:line="240" w:lineRule="auto"/>
              <w:jc w:val="center"/>
              <w:rPr>
                <w:color w:val="000000"/>
                <w:sz w:val="20"/>
                <w:szCs w:val="20"/>
              </w:rPr>
            </w:pPr>
            <w:r>
              <w:rPr>
                <w:rFonts w:ascii="Calibri" w:eastAsia="Times New Roman" w:hAnsi="Calibri" w:cs="Times New Roman"/>
                <w:color w:val="000000"/>
                <w:sz w:val="20"/>
                <w:szCs w:val="20"/>
                <w:lang w:eastAsia="cs-CZ"/>
              </w:rPr>
              <w:t>6,7 %</w:t>
            </w:r>
          </w:p>
        </w:tc>
      </w:tr>
      <w:tr w:rsidR="00460D54" w14:paraId="7C838D72"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3E211431" w14:textId="77777777" w:rsidR="00460D54" w:rsidRDefault="00460D54" w:rsidP="009621F0">
            <w:pPr>
              <w:spacing w:before="60" w:after="60" w:line="240" w:lineRule="auto"/>
              <w:rPr>
                <w:rFonts w:ascii="Calibri" w:hAnsi="Calibri"/>
                <w:color w:val="000000"/>
                <w:sz w:val="20"/>
                <w:szCs w:val="20"/>
              </w:rPr>
            </w:pPr>
            <w:r>
              <w:rPr>
                <w:rFonts w:ascii="Calibri" w:hAnsi="Calibri"/>
                <w:color w:val="000000"/>
                <w:sz w:val="20"/>
                <w:szCs w:val="20"/>
              </w:rPr>
              <w:t>Odborné sociální poradenství</w:t>
            </w:r>
          </w:p>
        </w:tc>
        <w:tc>
          <w:tcPr>
            <w:tcW w:w="1965" w:type="dxa"/>
            <w:tcBorders>
              <w:top w:val="single" w:sz="4" w:space="0" w:color="auto"/>
              <w:bottom w:val="single" w:sz="4" w:space="0" w:color="auto"/>
              <w:right w:val="single" w:sz="4" w:space="0" w:color="auto"/>
            </w:tcBorders>
            <w:vAlign w:val="center"/>
          </w:tcPr>
          <w:p w14:paraId="1D8AEAD9"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7560428C" w14:textId="77777777" w:rsidR="00460D54" w:rsidRDefault="00460D54" w:rsidP="009621F0">
            <w:pPr>
              <w:spacing w:before="60" w:after="60" w:line="240" w:lineRule="auto"/>
              <w:jc w:val="center"/>
              <w:rPr>
                <w:rFonts w:ascii="Calibri" w:eastAsia="Times New Roman" w:hAnsi="Calibri" w:cs="Times New Roman"/>
                <w:color w:val="000000"/>
                <w:sz w:val="20"/>
                <w:szCs w:val="20"/>
                <w:lang w:eastAsia="cs-CZ"/>
              </w:rPr>
            </w:pPr>
            <w:r>
              <w:rPr>
                <w:rFonts w:ascii="Calibri" w:hAnsi="Calibri"/>
                <w:color w:val="000000"/>
                <w:sz w:val="20"/>
                <w:szCs w:val="20"/>
              </w:rPr>
              <w:t>20 %</w:t>
            </w:r>
          </w:p>
        </w:tc>
        <w:tc>
          <w:tcPr>
            <w:tcW w:w="1684" w:type="dxa"/>
            <w:tcBorders>
              <w:top w:val="single" w:sz="4" w:space="0" w:color="auto"/>
              <w:bottom w:val="single" w:sz="4" w:space="0" w:color="auto"/>
              <w:right w:val="single" w:sz="4" w:space="0" w:color="auto"/>
            </w:tcBorders>
            <w:vAlign w:val="center"/>
          </w:tcPr>
          <w:p w14:paraId="08E5EC26" w14:textId="77777777" w:rsidR="00460D54" w:rsidRDefault="00460D54" w:rsidP="009621F0">
            <w:pPr>
              <w:spacing w:before="60" w:after="60" w:line="240" w:lineRule="auto"/>
              <w:jc w:val="center"/>
              <w:rPr>
                <w:rFonts w:ascii="Calibri" w:eastAsia="Times New Roman" w:hAnsi="Calibri" w:cs="Times New Roman"/>
                <w:color w:val="000000"/>
                <w:sz w:val="20"/>
                <w:szCs w:val="20"/>
                <w:lang w:eastAsia="cs-CZ"/>
              </w:rPr>
            </w:pPr>
            <w:r>
              <w:rPr>
                <w:rFonts w:ascii="Calibri" w:hAnsi="Calibri"/>
                <w:color w:val="000000"/>
                <w:sz w:val="20"/>
                <w:szCs w:val="20"/>
              </w:rPr>
              <w:t>6,7 %</w:t>
            </w:r>
          </w:p>
        </w:tc>
        <w:tc>
          <w:tcPr>
            <w:tcW w:w="1684" w:type="dxa"/>
            <w:tcBorders>
              <w:top w:val="single" w:sz="4" w:space="0" w:color="auto"/>
              <w:bottom w:val="single" w:sz="4" w:space="0" w:color="auto"/>
              <w:right w:val="single" w:sz="4" w:space="0" w:color="auto"/>
            </w:tcBorders>
            <w:vAlign w:val="center"/>
          </w:tcPr>
          <w:p w14:paraId="77A127DF" w14:textId="77777777" w:rsidR="00460D54" w:rsidRDefault="00460D54" w:rsidP="009621F0">
            <w:pPr>
              <w:spacing w:before="60" w:after="60" w:line="240" w:lineRule="auto"/>
              <w:jc w:val="center"/>
              <w:rPr>
                <w:rFonts w:ascii="Calibri" w:eastAsia="Times New Roman" w:hAnsi="Calibri" w:cs="Times New Roman"/>
                <w:color w:val="000000"/>
                <w:sz w:val="20"/>
                <w:szCs w:val="20"/>
                <w:lang w:eastAsia="cs-CZ"/>
              </w:rPr>
            </w:pPr>
            <w:r>
              <w:rPr>
                <w:rFonts w:ascii="Calibri" w:hAnsi="Calibri"/>
                <w:color w:val="000000"/>
                <w:sz w:val="20"/>
                <w:szCs w:val="20"/>
              </w:rPr>
              <w:t>13,3 %</w:t>
            </w:r>
          </w:p>
        </w:tc>
      </w:tr>
      <w:tr w:rsidR="00460D54" w14:paraId="7407271E"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214DE03E" w14:textId="77777777" w:rsidR="00460D54" w:rsidRDefault="00460D54" w:rsidP="009621F0">
            <w:pPr>
              <w:spacing w:before="60" w:after="60" w:line="240" w:lineRule="auto"/>
              <w:rPr>
                <w:rFonts w:ascii="Calibri" w:hAnsi="Calibri"/>
                <w:color w:val="000000"/>
                <w:sz w:val="20"/>
                <w:szCs w:val="20"/>
              </w:rPr>
            </w:pPr>
            <w:r>
              <w:rPr>
                <w:rFonts w:ascii="Calibri" w:hAnsi="Calibri"/>
                <w:color w:val="000000"/>
                <w:sz w:val="20"/>
                <w:szCs w:val="20"/>
              </w:rPr>
              <w:t>Odlehčovací služby</w:t>
            </w:r>
          </w:p>
        </w:tc>
        <w:tc>
          <w:tcPr>
            <w:tcW w:w="1965" w:type="dxa"/>
            <w:tcBorders>
              <w:top w:val="single" w:sz="4" w:space="0" w:color="auto"/>
              <w:bottom w:val="single" w:sz="4" w:space="0" w:color="auto"/>
              <w:right w:val="single" w:sz="4" w:space="0" w:color="auto"/>
            </w:tcBorders>
            <w:vAlign w:val="center"/>
          </w:tcPr>
          <w:p w14:paraId="7C9E9C83"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6BE737E9" w14:textId="77777777" w:rsidR="00460D54" w:rsidRDefault="00460D54" w:rsidP="009621F0">
            <w:pPr>
              <w:spacing w:before="60" w:after="60" w:line="240" w:lineRule="auto"/>
              <w:jc w:val="center"/>
              <w:rPr>
                <w:rFonts w:ascii="Calibri" w:eastAsia="Times New Roman" w:hAnsi="Calibri" w:cs="Times New Roman"/>
                <w:color w:val="000000"/>
                <w:sz w:val="20"/>
                <w:szCs w:val="20"/>
                <w:lang w:eastAsia="cs-CZ"/>
              </w:rPr>
            </w:pPr>
            <w:r>
              <w:rPr>
                <w:rFonts w:ascii="Calibri" w:hAnsi="Calibri"/>
                <w:color w:val="000000"/>
                <w:sz w:val="20"/>
                <w:szCs w:val="20"/>
              </w:rPr>
              <w:t>15 %</w:t>
            </w:r>
          </w:p>
        </w:tc>
        <w:tc>
          <w:tcPr>
            <w:tcW w:w="1684" w:type="dxa"/>
            <w:tcBorders>
              <w:top w:val="single" w:sz="4" w:space="0" w:color="auto"/>
              <w:bottom w:val="single" w:sz="4" w:space="0" w:color="auto"/>
              <w:right w:val="single" w:sz="4" w:space="0" w:color="auto"/>
            </w:tcBorders>
            <w:vAlign w:val="center"/>
          </w:tcPr>
          <w:p w14:paraId="2058DC42" w14:textId="77777777" w:rsidR="00460D54" w:rsidRDefault="00460D54" w:rsidP="009621F0">
            <w:pPr>
              <w:spacing w:before="60" w:after="60" w:line="240" w:lineRule="auto"/>
              <w:jc w:val="center"/>
              <w:rPr>
                <w:rFonts w:ascii="Calibri" w:eastAsia="Times New Roman" w:hAnsi="Calibri" w:cs="Times New Roman"/>
                <w:color w:val="000000"/>
                <w:sz w:val="20"/>
                <w:szCs w:val="20"/>
                <w:lang w:eastAsia="cs-CZ"/>
              </w:rPr>
            </w:pPr>
            <w:r>
              <w:rPr>
                <w:rFonts w:ascii="Calibri" w:hAnsi="Calibri"/>
                <w:color w:val="000000"/>
                <w:sz w:val="20"/>
                <w:szCs w:val="20"/>
              </w:rPr>
              <w:t>5 %</w:t>
            </w:r>
          </w:p>
        </w:tc>
        <w:tc>
          <w:tcPr>
            <w:tcW w:w="1684" w:type="dxa"/>
            <w:tcBorders>
              <w:top w:val="single" w:sz="4" w:space="0" w:color="auto"/>
              <w:bottom w:val="single" w:sz="4" w:space="0" w:color="auto"/>
              <w:right w:val="single" w:sz="4" w:space="0" w:color="auto"/>
            </w:tcBorders>
            <w:vAlign w:val="center"/>
          </w:tcPr>
          <w:p w14:paraId="0C069823" w14:textId="77777777" w:rsidR="00460D54" w:rsidRDefault="00460D54" w:rsidP="009621F0">
            <w:pPr>
              <w:spacing w:before="60" w:after="60" w:line="240" w:lineRule="auto"/>
              <w:jc w:val="center"/>
              <w:rPr>
                <w:rFonts w:ascii="Calibri" w:eastAsia="Times New Roman" w:hAnsi="Calibri" w:cs="Times New Roman"/>
                <w:color w:val="000000"/>
                <w:sz w:val="20"/>
                <w:szCs w:val="20"/>
                <w:lang w:eastAsia="cs-CZ"/>
              </w:rPr>
            </w:pPr>
            <w:r>
              <w:rPr>
                <w:rFonts w:ascii="Calibri" w:hAnsi="Calibri"/>
                <w:color w:val="000000"/>
                <w:sz w:val="20"/>
                <w:szCs w:val="20"/>
              </w:rPr>
              <w:t>10 %</w:t>
            </w:r>
          </w:p>
        </w:tc>
      </w:tr>
      <w:tr w:rsidR="00460D54" w14:paraId="48EF537C"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517490C6" w14:textId="77777777" w:rsidR="00460D54" w:rsidRDefault="00460D54" w:rsidP="009621F0">
            <w:pPr>
              <w:spacing w:before="60" w:after="60" w:line="240" w:lineRule="auto"/>
              <w:rPr>
                <w:rFonts w:ascii="Calibri" w:hAnsi="Calibri"/>
                <w:color w:val="000000"/>
                <w:sz w:val="20"/>
                <w:szCs w:val="20"/>
              </w:rPr>
            </w:pPr>
            <w:r>
              <w:rPr>
                <w:rFonts w:ascii="Calibri" w:hAnsi="Calibri"/>
                <w:color w:val="000000"/>
                <w:sz w:val="20"/>
                <w:szCs w:val="20"/>
              </w:rPr>
              <w:t>Osobní asistence</w:t>
            </w:r>
          </w:p>
        </w:tc>
        <w:tc>
          <w:tcPr>
            <w:tcW w:w="1965" w:type="dxa"/>
            <w:tcBorders>
              <w:top w:val="single" w:sz="4" w:space="0" w:color="auto"/>
              <w:bottom w:val="single" w:sz="4" w:space="0" w:color="auto"/>
              <w:right w:val="single" w:sz="4" w:space="0" w:color="auto"/>
            </w:tcBorders>
            <w:vAlign w:val="center"/>
          </w:tcPr>
          <w:p w14:paraId="3E745E1D" w14:textId="77777777" w:rsidR="00460D54" w:rsidRDefault="00460D54" w:rsidP="009621F0">
            <w:pPr>
              <w:spacing w:before="60" w:after="60" w:line="240" w:lineRule="auto"/>
              <w:rPr>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114B6377"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15 %</w:t>
            </w:r>
          </w:p>
        </w:tc>
        <w:tc>
          <w:tcPr>
            <w:tcW w:w="1684" w:type="dxa"/>
            <w:tcBorders>
              <w:top w:val="single" w:sz="4" w:space="0" w:color="auto"/>
              <w:bottom w:val="single" w:sz="4" w:space="0" w:color="auto"/>
              <w:right w:val="single" w:sz="4" w:space="0" w:color="auto"/>
            </w:tcBorders>
            <w:vAlign w:val="center"/>
          </w:tcPr>
          <w:p w14:paraId="14339969"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5 %</w:t>
            </w:r>
          </w:p>
        </w:tc>
        <w:tc>
          <w:tcPr>
            <w:tcW w:w="1684" w:type="dxa"/>
            <w:tcBorders>
              <w:top w:val="single" w:sz="4" w:space="0" w:color="auto"/>
              <w:bottom w:val="single" w:sz="4" w:space="0" w:color="auto"/>
              <w:right w:val="single" w:sz="4" w:space="0" w:color="auto"/>
            </w:tcBorders>
            <w:vAlign w:val="center"/>
          </w:tcPr>
          <w:p w14:paraId="1A910812"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10 %</w:t>
            </w:r>
          </w:p>
        </w:tc>
      </w:tr>
      <w:tr w:rsidR="00460D54" w14:paraId="5B59ED24"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206297B0" w14:textId="77777777" w:rsidR="00460D54" w:rsidRDefault="00460D54" w:rsidP="009621F0">
            <w:pPr>
              <w:spacing w:before="60" w:after="60" w:line="240" w:lineRule="auto"/>
              <w:rPr>
                <w:rFonts w:ascii="Calibri" w:hAnsi="Calibri"/>
                <w:color w:val="000000"/>
                <w:sz w:val="20"/>
                <w:szCs w:val="20"/>
              </w:rPr>
            </w:pPr>
            <w:r>
              <w:rPr>
                <w:rFonts w:ascii="Calibri" w:hAnsi="Calibri"/>
                <w:color w:val="000000"/>
                <w:sz w:val="20"/>
                <w:szCs w:val="20"/>
              </w:rPr>
              <w:t>Pečovatelská služba</w:t>
            </w:r>
          </w:p>
        </w:tc>
        <w:tc>
          <w:tcPr>
            <w:tcW w:w="1965" w:type="dxa"/>
            <w:tcBorders>
              <w:top w:val="single" w:sz="4" w:space="0" w:color="auto"/>
              <w:bottom w:val="single" w:sz="4" w:space="0" w:color="auto"/>
              <w:right w:val="single" w:sz="4" w:space="0" w:color="auto"/>
            </w:tcBorders>
            <w:vAlign w:val="center"/>
          </w:tcPr>
          <w:p w14:paraId="25DBC07B"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7A7405E6"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20 %</w:t>
            </w:r>
          </w:p>
        </w:tc>
        <w:tc>
          <w:tcPr>
            <w:tcW w:w="1684" w:type="dxa"/>
            <w:tcBorders>
              <w:top w:val="single" w:sz="4" w:space="0" w:color="auto"/>
              <w:bottom w:val="single" w:sz="4" w:space="0" w:color="auto"/>
              <w:right w:val="single" w:sz="4" w:space="0" w:color="auto"/>
            </w:tcBorders>
            <w:vAlign w:val="center"/>
          </w:tcPr>
          <w:p w14:paraId="50133E61"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6,7 %</w:t>
            </w:r>
          </w:p>
        </w:tc>
        <w:tc>
          <w:tcPr>
            <w:tcW w:w="1684" w:type="dxa"/>
            <w:tcBorders>
              <w:top w:val="single" w:sz="4" w:space="0" w:color="auto"/>
              <w:bottom w:val="single" w:sz="4" w:space="0" w:color="auto"/>
              <w:right w:val="single" w:sz="4" w:space="0" w:color="auto"/>
            </w:tcBorders>
            <w:vAlign w:val="center"/>
          </w:tcPr>
          <w:p w14:paraId="0D4CEE2D"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13,3 %</w:t>
            </w:r>
          </w:p>
        </w:tc>
      </w:tr>
      <w:tr w:rsidR="00460D54" w14:paraId="1CB34442"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23EB7225" w14:textId="77777777" w:rsidR="00460D54" w:rsidRDefault="00460D54" w:rsidP="009621F0">
            <w:pPr>
              <w:spacing w:before="60" w:after="60" w:line="240" w:lineRule="auto"/>
              <w:rPr>
                <w:rFonts w:ascii="Calibri" w:hAnsi="Calibri"/>
                <w:color w:val="000000"/>
                <w:sz w:val="20"/>
                <w:szCs w:val="20"/>
              </w:rPr>
            </w:pPr>
            <w:r>
              <w:rPr>
                <w:rFonts w:ascii="Calibri" w:hAnsi="Calibri"/>
                <w:color w:val="000000"/>
                <w:sz w:val="20"/>
                <w:szCs w:val="20"/>
              </w:rPr>
              <w:lastRenderedPageBreak/>
              <w:t>Podpora samostatného bydlení</w:t>
            </w:r>
          </w:p>
        </w:tc>
        <w:tc>
          <w:tcPr>
            <w:tcW w:w="1965" w:type="dxa"/>
            <w:tcBorders>
              <w:top w:val="single" w:sz="4" w:space="0" w:color="auto"/>
              <w:bottom w:val="single" w:sz="4" w:space="0" w:color="auto"/>
              <w:right w:val="single" w:sz="4" w:space="0" w:color="auto"/>
            </w:tcBorders>
            <w:vAlign w:val="center"/>
          </w:tcPr>
          <w:p w14:paraId="3D1ED91E" w14:textId="77777777" w:rsidR="00460D54" w:rsidRDefault="00460D54" w:rsidP="009621F0">
            <w:pPr>
              <w:spacing w:before="60" w:after="60" w:line="240" w:lineRule="auto"/>
              <w:rPr>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637C3228"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15 %</w:t>
            </w:r>
          </w:p>
        </w:tc>
        <w:tc>
          <w:tcPr>
            <w:tcW w:w="1684" w:type="dxa"/>
            <w:tcBorders>
              <w:top w:val="single" w:sz="4" w:space="0" w:color="auto"/>
              <w:bottom w:val="single" w:sz="4" w:space="0" w:color="auto"/>
              <w:right w:val="single" w:sz="4" w:space="0" w:color="auto"/>
            </w:tcBorders>
            <w:vAlign w:val="center"/>
          </w:tcPr>
          <w:p w14:paraId="2E9D15B4"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5 %</w:t>
            </w:r>
          </w:p>
        </w:tc>
        <w:tc>
          <w:tcPr>
            <w:tcW w:w="1684" w:type="dxa"/>
            <w:tcBorders>
              <w:top w:val="single" w:sz="4" w:space="0" w:color="auto"/>
              <w:bottom w:val="single" w:sz="4" w:space="0" w:color="auto"/>
              <w:right w:val="single" w:sz="4" w:space="0" w:color="auto"/>
            </w:tcBorders>
            <w:vAlign w:val="center"/>
          </w:tcPr>
          <w:p w14:paraId="5B5666D1"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10 %</w:t>
            </w:r>
          </w:p>
        </w:tc>
      </w:tr>
      <w:tr w:rsidR="00460D54" w14:paraId="5609F7B8"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244E53C5" w14:textId="77777777" w:rsidR="00460D54" w:rsidRDefault="00460D54" w:rsidP="009621F0">
            <w:pPr>
              <w:spacing w:before="60" w:after="60" w:line="240" w:lineRule="auto"/>
              <w:rPr>
                <w:rFonts w:ascii="Calibri" w:hAnsi="Calibri"/>
                <w:color w:val="000000"/>
                <w:sz w:val="20"/>
                <w:szCs w:val="20"/>
              </w:rPr>
            </w:pPr>
            <w:r>
              <w:rPr>
                <w:rFonts w:ascii="Calibri" w:hAnsi="Calibri"/>
                <w:color w:val="000000"/>
                <w:sz w:val="20"/>
                <w:szCs w:val="20"/>
              </w:rPr>
              <w:t>Průvodcovské a předčitatelské služby*</w:t>
            </w:r>
          </w:p>
        </w:tc>
        <w:tc>
          <w:tcPr>
            <w:tcW w:w="1965" w:type="dxa"/>
            <w:tcBorders>
              <w:top w:val="single" w:sz="4" w:space="0" w:color="auto"/>
              <w:bottom w:val="single" w:sz="4" w:space="0" w:color="auto"/>
              <w:right w:val="single" w:sz="4" w:space="0" w:color="auto"/>
            </w:tcBorders>
            <w:vAlign w:val="center"/>
          </w:tcPr>
          <w:p w14:paraId="051658D2"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455A1B5F"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w:t>
            </w:r>
          </w:p>
        </w:tc>
        <w:tc>
          <w:tcPr>
            <w:tcW w:w="1684" w:type="dxa"/>
            <w:tcBorders>
              <w:top w:val="single" w:sz="4" w:space="0" w:color="auto"/>
              <w:bottom w:val="single" w:sz="4" w:space="0" w:color="auto"/>
              <w:right w:val="single" w:sz="4" w:space="0" w:color="auto"/>
            </w:tcBorders>
            <w:vAlign w:val="center"/>
          </w:tcPr>
          <w:p w14:paraId="2CD8F65C"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w:t>
            </w:r>
          </w:p>
        </w:tc>
        <w:tc>
          <w:tcPr>
            <w:tcW w:w="1684" w:type="dxa"/>
            <w:tcBorders>
              <w:top w:val="single" w:sz="4" w:space="0" w:color="auto"/>
              <w:bottom w:val="single" w:sz="4" w:space="0" w:color="auto"/>
              <w:right w:val="single" w:sz="4" w:space="0" w:color="auto"/>
            </w:tcBorders>
            <w:vAlign w:val="center"/>
          </w:tcPr>
          <w:p w14:paraId="1A700203" w14:textId="77777777" w:rsidR="00460D54" w:rsidRDefault="00460D54" w:rsidP="009621F0">
            <w:pPr>
              <w:spacing w:before="60" w:after="60" w:line="240" w:lineRule="auto"/>
              <w:jc w:val="center"/>
              <w:rPr>
                <w:rFonts w:ascii="Calibri" w:hAnsi="Calibri"/>
                <w:color w:val="000000"/>
                <w:sz w:val="20"/>
                <w:szCs w:val="20"/>
              </w:rPr>
            </w:pPr>
            <w:r>
              <w:rPr>
                <w:rFonts w:ascii="Calibri" w:hAnsi="Calibri"/>
                <w:color w:val="000000"/>
                <w:sz w:val="20"/>
                <w:szCs w:val="20"/>
              </w:rPr>
              <w:t>-</w:t>
            </w:r>
          </w:p>
        </w:tc>
      </w:tr>
      <w:tr w:rsidR="00460D54" w14:paraId="1078118B"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57712463" w14:textId="77777777" w:rsidR="00460D54" w:rsidRDefault="00460D54" w:rsidP="009621F0">
            <w:pPr>
              <w:spacing w:before="60" w:after="60" w:line="240" w:lineRule="auto"/>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Raná péče</w:t>
            </w:r>
          </w:p>
        </w:tc>
        <w:tc>
          <w:tcPr>
            <w:tcW w:w="1965" w:type="dxa"/>
            <w:tcBorders>
              <w:top w:val="single" w:sz="4" w:space="0" w:color="auto"/>
              <w:bottom w:val="single" w:sz="4" w:space="0" w:color="auto"/>
              <w:right w:val="single" w:sz="4" w:space="0" w:color="auto"/>
            </w:tcBorders>
            <w:vAlign w:val="center"/>
          </w:tcPr>
          <w:p w14:paraId="1A6FB517" w14:textId="77777777" w:rsidR="00460D54" w:rsidRDefault="00460D54" w:rsidP="009621F0">
            <w:pPr>
              <w:spacing w:before="60" w:after="60" w:line="240" w:lineRule="auto"/>
              <w:rPr>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4A82F119" w14:textId="77777777" w:rsidR="00460D54" w:rsidRDefault="00460D54" w:rsidP="009621F0">
            <w:pPr>
              <w:spacing w:before="60" w:after="60" w:line="240" w:lineRule="auto"/>
              <w:jc w:val="center"/>
              <w:rPr>
                <w:color w:val="000000"/>
                <w:sz w:val="20"/>
                <w:szCs w:val="20"/>
              </w:rPr>
            </w:pPr>
            <w:r>
              <w:rPr>
                <w:rFonts w:ascii="Calibri" w:eastAsia="Times New Roman" w:hAnsi="Calibri" w:cs="Times New Roman"/>
                <w:color w:val="000000"/>
                <w:sz w:val="20"/>
                <w:szCs w:val="20"/>
                <w:lang w:eastAsia="cs-CZ"/>
              </w:rPr>
              <w:t>12 %</w:t>
            </w:r>
          </w:p>
        </w:tc>
        <w:tc>
          <w:tcPr>
            <w:tcW w:w="1684" w:type="dxa"/>
            <w:tcBorders>
              <w:top w:val="single" w:sz="4" w:space="0" w:color="auto"/>
              <w:bottom w:val="single" w:sz="4" w:space="0" w:color="auto"/>
              <w:right w:val="single" w:sz="4" w:space="0" w:color="auto"/>
            </w:tcBorders>
            <w:vAlign w:val="center"/>
          </w:tcPr>
          <w:p w14:paraId="1C681956" w14:textId="77777777" w:rsidR="00460D54" w:rsidRDefault="00460D54" w:rsidP="009621F0">
            <w:pPr>
              <w:spacing w:before="60" w:after="60" w:line="240" w:lineRule="auto"/>
              <w:jc w:val="center"/>
              <w:rPr>
                <w:color w:val="000000"/>
                <w:sz w:val="20"/>
                <w:szCs w:val="20"/>
              </w:rPr>
            </w:pPr>
            <w:r>
              <w:rPr>
                <w:rFonts w:ascii="Calibri" w:eastAsia="Times New Roman" w:hAnsi="Calibri" w:cs="Times New Roman"/>
                <w:color w:val="000000"/>
                <w:sz w:val="20"/>
                <w:szCs w:val="20"/>
                <w:lang w:eastAsia="cs-CZ"/>
              </w:rPr>
              <w:t>4 %</w:t>
            </w:r>
          </w:p>
        </w:tc>
        <w:tc>
          <w:tcPr>
            <w:tcW w:w="1684" w:type="dxa"/>
            <w:tcBorders>
              <w:top w:val="single" w:sz="4" w:space="0" w:color="auto"/>
              <w:bottom w:val="single" w:sz="4" w:space="0" w:color="auto"/>
              <w:right w:val="single" w:sz="4" w:space="0" w:color="auto"/>
            </w:tcBorders>
            <w:vAlign w:val="center"/>
          </w:tcPr>
          <w:p w14:paraId="60A0B622" w14:textId="77777777" w:rsidR="00460D54" w:rsidRDefault="00460D54" w:rsidP="009621F0">
            <w:pPr>
              <w:spacing w:before="60" w:after="60" w:line="240" w:lineRule="auto"/>
              <w:jc w:val="center"/>
              <w:rPr>
                <w:color w:val="000000"/>
                <w:sz w:val="20"/>
                <w:szCs w:val="20"/>
              </w:rPr>
            </w:pPr>
            <w:r>
              <w:rPr>
                <w:rFonts w:ascii="Calibri" w:eastAsia="Times New Roman" w:hAnsi="Calibri" w:cs="Times New Roman"/>
                <w:color w:val="000000"/>
                <w:sz w:val="20"/>
                <w:szCs w:val="20"/>
                <w:lang w:eastAsia="cs-CZ"/>
              </w:rPr>
              <w:t>8 %</w:t>
            </w:r>
          </w:p>
        </w:tc>
      </w:tr>
      <w:tr w:rsidR="00460D54" w14:paraId="7962C90A"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6945B724" w14:textId="77777777" w:rsidR="00460D54" w:rsidRDefault="00460D54" w:rsidP="009621F0">
            <w:pPr>
              <w:spacing w:before="60" w:after="60" w:line="240" w:lineRule="auto"/>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Služby následné péče</w:t>
            </w:r>
          </w:p>
        </w:tc>
        <w:tc>
          <w:tcPr>
            <w:tcW w:w="1965" w:type="dxa"/>
            <w:tcBorders>
              <w:top w:val="single" w:sz="4" w:space="0" w:color="auto"/>
              <w:bottom w:val="single" w:sz="4" w:space="0" w:color="auto"/>
              <w:right w:val="single" w:sz="4" w:space="0" w:color="auto"/>
            </w:tcBorders>
            <w:vAlign w:val="center"/>
          </w:tcPr>
          <w:p w14:paraId="54EC7835"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0ECC6259"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15 %</w:t>
            </w:r>
          </w:p>
        </w:tc>
        <w:tc>
          <w:tcPr>
            <w:tcW w:w="1684" w:type="dxa"/>
            <w:tcBorders>
              <w:top w:val="single" w:sz="4" w:space="0" w:color="auto"/>
              <w:bottom w:val="single" w:sz="4" w:space="0" w:color="auto"/>
              <w:right w:val="single" w:sz="4" w:space="0" w:color="auto"/>
            </w:tcBorders>
            <w:vAlign w:val="center"/>
          </w:tcPr>
          <w:p w14:paraId="51E5A2AF"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5 %</w:t>
            </w:r>
          </w:p>
        </w:tc>
        <w:tc>
          <w:tcPr>
            <w:tcW w:w="1684" w:type="dxa"/>
            <w:tcBorders>
              <w:top w:val="single" w:sz="4" w:space="0" w:color="auto"/>
              <w:bottom w:val="single" w:sz="4" w:space="0" w:color="auto"/>
              <w:right w:val="single" w:sz="4" w:space="0" w:color="auto"/>
            </w:tcBorders>
            <w:vAlign w:val="center"/>
          </w:tcPr>
          <w:p w14:paraId="719EEFCF"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10 %</w:t>
            </w:r>
          </w:p>
        </w:tc>
      </w:tr>
      <w:tr w:rsidR="00460D54" w14:paraId="255600D6"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5DC773C0" w14:textId="77777777" w:rsidR="00460D54" w:rsidRDefault="00460D54" w:rsidP="009621F0">
            <w:pPr>
              <w:spacing w:before="60" w:after="60" w:line="240" w:lineRule="auto"/>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Sociálně aktivizační služby pro rodiny s dětmi</w:t>
            </w:r>
          </w:p>
        </w:tc>
        <w:tc>
          <w:tcPr>
            <w:tcW w:w="1965" w:type="dxa"/>
            <w:tcBorders>
              <w:top w:val="single" w:sz="4" w:space="0" w:color="auto"/>
              <w:bottom w:val="single" w:sz="4" w:space="0" w:color="auto"/>
              <w:right w:val="single" w:sz="4" w:space="0" w:color="auto"/>
            </w:tcBorders>
            <w:vAlign w:val="center"/>
          </w:tcPr>
          <w:p w14:paraId="578467B2"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0D8AFF71"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17 %</w:t>
            </w:r>
          </w:p>
        </w:tc>
        <w:tc>
          <w:tcPr>
            <w:tcW w:w="1684" w:type="dxa"/>
            <w:tcBorders>
              <w:top w:val="single" w:sz="4" w:space="0" w:color="auto"/>
              <w:bottom w:val="single" w:sz="4" w:space="0" w:color="auto"/>
              <w:right w:val="single" w:sz="4" w:space="0" w:color="auto"/>
            </w:tcBorders>
            <w:vAlign w:val="center"/>
          </w:tcPr>
          <w:p w14:paraId="28765B7B"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5,7 %</w:t>
            </w:r>
          </w:p>
        </w:tc>
        <w:tc>
          <w:tcPr>
            <w:tcW w:w="1684" w:type="dxa"/>
            <w:tcBorders>
              <w:top w:val="single" w:sz="4" w:space="0" w:color="auto"/>
              <w:bottom w:val="single" w:sz="4" w:space="0" w:color="auto"/>
              <w:right w:val="single" w:sz="4" w:space="0" w:color="auto"/>
            </w:tcBorders>
            <w:vAlign w:val="center"/>
          </w:tcPr>
          <w:p w14:paraId="5FA057D2"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11,3 %</w:t>
            </w:r>
          </w:p>
        </w:tc>
      </w:tr>
      <w:tr w:rsidR="00460D54" w14:paraId="6810C72A"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6F6ADAA5" w14:textId="77777777" w:rsidR="00460D54" w:rsidRDefault="00460D54" w:rsidP="009621F0">
            <w:pPr>
              <w:spacing w:before="60" w:after="60" w:line="240" w:lineRule="auto"/>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Sociálně aktivizační služby pro seniory a osoby se zdravotním postižením</w:t>
            </w:r>
          </w:p>
        </w:tc>
        <w:tc>
          <w:tcPr>
            <w:tcW w:w="1965" w:type="dxa"/>
            <w:tcBorders>
              <w:top w:val="single" w:sz="4" w:space="0" w:color="auto"/>
              <w:bottom w:val="single" w:sz="4" w:space="0" w:color="auto"/>
              <w:right w:val="single" w:sz="4" w:space="0" w:color="auto"/>
            </w:tcBorders>
            <w:vAlign w:val="center"/>
          </w:tcPr>
          <w:p w14:paraId="13B60A93"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49C06FC2"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20 %</w:t>
            </w:r>
          </w:p>
        </w:tc>
        <w:tc>
          <w:tcPr>
            <w:tcW w:w="1684" w:type="dxa"/>
            <w:tcBorders>
              <w:top w:val="single" w:sz="4" w:space="0" w:color="auto"/>
              <w:bottom w:val="single" w:sz="4" w:space="0" w:color="auto"/>
              <w:right w:val="single" w:sz="4" w:space="0" w:color="auto"/>
            </w:tcBorders>
            <w:vAlign w:val="center"/>
          </w:tcPr>
          <w:p w14:paraId="768C54D1"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6,7 %</w:t>
            </w:r>
          </w:p>
        </w:tc>
        <w:tc>
          <w:tcPr>
            <w:tcW w:w="1684" w:type="dxa"/>
            <w:tcBorders>
              <w:top w:val="single" w:sz="4" w:space="0" w:color="auto"/>
              <w:bottom w:val="single" w:sz="4" w:space="0" w:color="auto"/>
              <w:right w:val="single" w:sz="4" w:space="0" w:color="auto"/>
            </w:tcBorders>
            <w:vAlign w:val="center"/>
          </w:tcPr>
          <w:p w14:paraId="009ED2FC"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13,3 %</w:t>
            </w:r>
          </w:p>
        </w:tc>
      </w:tr>
      <w:tr w:rsidR="00460D54" w14:paraId="58043D47"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66B58A3F" w14:textId="77777777" w:rsidR="00460D54" w:rsidRDefault="00460D54" w:rsidP="009621F0">
            <w:pPr>
              <w:spacing w:before="60" w:after="60" w:line="240" w:lineRule="auto"/>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Sociálně terapeutické dílny</w:t>
            </w:r>
          </w:p>
        </w:tc>
        <w:tc>
          <w:tcPr>
            <w:tcW w:w="1965" w:type="dxa"/>
            <w:tcBorders>
              <w:top w:val="single" w:sz="4" w:space="0" w:color="auto"/>
              <w:bottom w:val="single" w:sz="4" w:space="0" w:color="auto"/>
              <w:right w:val="single" w:sz="4" w:space="0" w:color="auto"/>
            </w:tcBorders>
            <w:vAlign w:val="center"/>
          </w:tcPr>
          <w:p w14:paraId="65692D8E"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0F059421"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15 %</w:t>
            </w:r>
          </w:p>
        </w:tc>
        <w:tc>
          <w:tcPr>
            <w:tcW w:w="1684" w:type="dxa"/>
            <w:tcBorders>
              <w:top w:val="single" w:sz="4" w:space="0" w:color="auto"/>
              <w:bottom w:val="single" w:sz="4" w:space="0" w:color="auto"/>
              <w:right w:val="single" w:sz="4" w:space="0" w:color="auto"/>
            </w:tcBorders>
            <w:vAlign w:val="center"/>
          </w:tcPr>
          <w:p w14:paraId="64106CE9"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5 %</w:t>
            </w:r>
          </w:p>
        </w:tc>
        <w:tc>
          <w:tcPr>
            <w:tcW w:w="1684" w:type="dxa"/>
            <w:tcBorders>
              <w:top w:val="single" w:sz="4" w:space="0" w:color="auto"/>
              <w:bottom w:val="single" w:sz="4" w:space="0" w:color="auto"/>
              <w:right w:val="single" w:sz="4" w:space="0" w:color="auto"/>
            </w:tcBorders>
            <w:vAlign w:val="center"/>
          </w:tcPr>
          <w:p w14:paraId="652F05F4"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10 %</w:t>
            </w:r>
          </w:p>
        </w:tc>
      </w:tr>
      <w:tr w:rsidR="00460D54" w14:paraId="48E2A38A" w14:textId="77777777" w:rsidTr="00930724">
        <w:trPr>
          <w:cantSplit/>
          <w:trHeight w:val="454"/>
        </w:trPr>
        <w:tc>
          <w:tcPr>
            <w:tcW w:w="2855" w:type="dxa"/>
            <w:tcBorders>
              <w:top w:val="single" w:sz="4" w:space="0" w:color="auto"/>
              <w:left w:val="single" w:sz="4" w:space="0" w:color="auto"/>
              <w:right w:val="single" w:sz="4" w:space="0" w:color="auto"/>
            </w:tcBorders>
            <w:vAlign w:val="center"/>
          </w:tcPr>
          <w:p w14:paraId="35AFAC41" w14:textId="77777777" w:rsidR="00460D54" w:rsidRDefault="00460D54" w:rsidP="009621F0">
            <w:pPr>
              <w:spacing w:before="60" w:after="60" w:line="240" w:lineRule="auto"/>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Sociální rehabilitace</w:t>
            </w:r>
          </w:p>
        </w:tc>
        <w:tc>
          <w:tcPr>
            <w:tcW w:w="1965" w:type="dxa"/>
            <w:tcBorders>
              <w:top w:val="single" w:sz="4" w:space="0" w:color="auto"/>
              <w:right w:val="single" w:sz="4" w:space="0" w:color="auto"/>
            </w:tcBorders>
            <w:vAlign w:val="center"/>
          </w:tcPr>
          <w:p w14:paraId="764301DE"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right w:val="single" w:sz="4" w:space="0" w:color="auto"/>
            </w:tcBorders>
            <w:vAlign w:val="center"/>
          </w:tcPr>
          <w:p w14:paraId="03AB8BFA"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20 %</w:t>
            </w:r>
          </w:p>
        </w:tc>
        <w:tc>
          <w:tcPr>
            <w:tcW w:w="1684" w:type="dxa"/>
            <w:tcBorders>
              <w:top w:val="single" w:sz="4" w:space="0" w:color="auto"/>
              <w:right w:val="single" w:sz="4" w:space="0" w:color="auto"/>
            </w:tcBorders>
            <w:vAlign w:val="center"/>
          </w:tcPr>
          <w:p w14:paraId="67259FB4"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6,7 %</w:t>
            </w:r>
          </w:p>
        </w:tc>
        <w:tc>
          <w:tcPr>
            <w:tcW w:w="1684" w:type="dxa"/>
            <w:tcBorders>
              <w:top w:val="single" w:sz="4" w:space="0" w:color="auto"/>
              <w:right w:val="single" w:sz="4" w:space="0" w:color="auto"/>
            </w:tcBorders>
            <w:vAlign w:val="center"/>
          </w:tcPr>
          <w:p w14:paraId="296CAAD6"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13,3 %</w:t>
            </w:r>
          </w:p>
        </w:tc>
      </w:tr>
      <w:tr w:rsidR="00460D54" w14:paraId="2564E1EF"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39A8D022" w14:textId="77777777" w:rsidR="00460D54" w:rsidRDefault="00460D54" w:rsidP="009621F0">
            <w:pPr>
              <w:spacing w:before="60" w:after="60" w:line="240" w:lineRule="auto"/>
              <w:rPr>
                <w:rFonts w:eastAsia="Times New Roman" w:cs="Times New Roman"/>
                <w:color w:val="000000"/>
                <w:sz w:val="20"/>
                <w:szCs w:val="20"/>
                <w:lang w:eastAsia="cs-CZ"/>
              </w:rPr>
            </w:pPr>
            <w:r>
              <w:rPr>
                <w:rFonts w:eastAsia="Times New Roman" w:cs="Times New Roman"/>
                <w:color w:val="000000"/>
                <w:sz w:val="20"/>
                <w:szCs w:val="20"/>
                <w:lang w:eastAsia="cs-CZ"/>
              </w:rPr>
              <w:t>Telefonická krizová pomoc</w:t>
            </w:r>
          </w:p>
        </w:tc>
        <w:tc>
          <w:tcPr>
            <w:tcW w:w="1965" w:type="dxa"/>
            <w:tcBorders>
              <w:top w:val="single" w:sz="4" w:space="0" w:color="auto"/>
              <w:bottom w:val="single" w:sz="4" w:space="0" w:color="auto"/>
              <w:right w:val="single" w:sz="4" w:space="0" w:color="auto"/>
            </w:tcBorders>
            <w:vAlign w:val="center"/>
          </w:tcPr>
          <w:p w14:paraId="2E140C57" w14:textId="77777777" w:rsidR="00460D54" w:rsidRDefault="00460D54" w:rsidP="009621F0">
            <w:pPr>
              <w:spacing w:before="60" w:after="60" w:line="240" w:lineRule="auto"/>
              <w:rPr>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522A3CE5" w14:textId="77777777" w:rsidR="00460D54" w:rsidRDefault="00460D54" w:rsidP="009621F0">
            <w:pPr>
              <w:spacing w:before="60" w:after="60" w:line="240" w:lineRule="auto"/>
              <w:jc w:val="center"/>
              <w:rPr>
                <w:rFonts w:ascii="Calibri" w:eastAsia="Times New Roman" w:hAnsi="Calibri" w:cs="Times New Roman"/>
                <w:color w:val="000000"/>
                <w:sz w:val="20"/>
                <w:szCs w:val="20"/>
                <w:lang w:eastAsia="cs-CZ"/>
              </w:rPr>
            </w:pPr>
            <w:r>
              <w:rPr>
                <w:rFonts w:eastAsia="Times New Roman" w:cs="Times New Roman"/>
                <w:color w:val="000000"/>
                <w:sz w:val="20"/>
                <w:szCs w:val="20"/>
                <w:lang w:eastAsia="cs-CZ"/>
              </w:rPr>
              <w:t>15 %</w:t>
            </w:r>
          </w:p>
        </w:tc>
        <w:tc>
          <w:tcPr>
            <w:tcW w:w="1684" w:type="dxa"/>
            <w:tcBorders>
              <w:top w:val="single" w:sz="4" w:space="0" w:color="auto"/>
              <w:bottom w:val="single" w:sz="4" w:space="0" w:color="auto"/>
              <w:right w:val="single" w:sz="4" w:space="0" w:color="auto"/>
            </w:tcBorders>
            <w:vAlign w:val="center"/>
          </w:tcPr>
          <w:p w14:paraId="396F0E7C" w14:textId="77777777" w:rsidR="00460D54" w:rsidRDefault="00460D54" w:rsidP="009621F0">
            <w:pPr>
              <w:spacing w:before="60" w:after="60" w:line="240" w:lineRule="auto"/>
              <w:jc w:val="center"/>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5 %</w:t>
            </w:r>
          </w:p>
        </w:tc>
        <w:tc>
          <w:tcPr>
            <w:tcW w:w="1684" w:type="dxa"/>
            <w:tcBorders>
              <w:top w:val="single" w:sz="4" w:space="0" w:color="auto"/>
              <w:bottom w:val="single" w:sz="4" w:space="0" w:color="auto"/>
              <w:right w:val="single" w:sz="4" w:space="0" w:color="auto"/>
            </w:tcBorders>
            <w:vAlign w:val="center"/>
          </w:tcPr>
          <w:p w14:paraId="748B7719" w14:textId="77777777" w:rsidR="00460D54" w:rsidRDefault="00460D54" w:rsidP="009621F0">
            <w:pPr>
              <w:spacing w:before="60" w:after="60" w:line="240" w:lineRule="auto"/>
              <w:jc w:val="center"/>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10 %</w:t>
            </w:r>
          </w:p>
        </w:tc>
      </w:tr>
      <w:tr w:rsidR="00460D54" w14:paraId="285021A1"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2A3C5E60" w14:textId="77777777" w:rsidR="00460D54" w:rsidRDefault="00460D54" w:rsidP="009621F0">
            <w:pPr>
              <w:spacing w:before="60" w:after="60" w:line="240" w:lineRule="auto"/>
              <w:rPr>
                <w:rFonts w:eastAsia="Times New Roman" w:cs="Times New Roman"/>
                <w:color w:val="000000"/>
                <w:sz w:val="20"/>
                <w:szCs w:val="20"/>
                <w:lang w:eastAsia="cs-CZ"/>
              </w:rPr>
            </w:pPr>
            <w:r>
              <w:rPr>
                <w:rFonts w:eastAsia="Times New Roman" w:cs="Times New Roman"/>
                <w:color w:val="000000"/>
                <w:sz w:val="20"/>
                <w:szCs w:val="20"/>
                <w:lang w:eastAsia="cs-CZ"/>
              </w:rPr>
              <w:t>Terénní programy</w:t>
            </w:r>
          </w:p>
        </w:tc>
        <w:tc>
          <w:tcPr>
            <w:tcW w:w="1965" w:type="dxa"/>
            <w:tcBorders>
              <w:top w:val="single" w:sz="4" w:space="0" w:color="auto"/>
              <w:bottom w:val="single" w:sz="4" w:space="0" w:color="auto"/>
              <w:right w:val="single" w:sz="4" w:space="0" w:color="auto"/>
            </w:tcBorders>
            <w:vAlign w:val="center"/>
          </w:tcPr>
          <w:p w14:paraId="2A7F38C7" w14:textId="77777777" w:rsidR="00460D54" w:rsidRDefault="00460D54" w:rsidP="009621F0">
            <w:pPr>
              <w:spacing w:before="60" w:after="60" w:line="240" w:lineRule="auto"/>
              <w:rPr>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6DB204BB" w14:textId="77777777" w:rsidR="00460D54" w:rsidRDefault="00460D54" w:rsidP="009621F0">
            <w:pPr>
              <w:spacing w:before="60" w:after="60" w:line="240" w:lineRule="auto"/>
              <w:jc w:val="center"/>
              <w:rPr>
                <w:rFonts w:ascii="Calibri" w:eastAsia="Times New Roman" w:hAnsi="Calibri" w:cs="Times New Roman"/>
                <w:color w:val="000000"/>
                <w:sz w:val="20"/>
                <w:szCs w:val="20"/>
                <w:lang w:eastAsia="cs-CZ"/>
              </w:rPr>
            </w:pPr>
            <w:r>
              <w:rPr>
                <w:rFonts w:eastAsia="Times New Roman" w:cs="Times New Roman"/>
                <w:color w:val="000000"/>
                <w:sz w:val="20"/>
                <w:szCs w:val="20"/>
                <w:lang w:eastAsia="cs-CZ"/>
              </w:rPr>
              <w:t>15 %</w:t>
            </w:r>
          </w:p>
        </w:tc>
        <w:tc>
          <w:tcPr>
            <w:tcW w:w="1684" w:type="dxa"/>
            <w:tcBorders>
              <w:top w:val="single" w:sz="4" w:space="0" w:color="auto"/>
              <w:bottom w:val="single" w:sz="4" w:space="0" w:color="auto"/>
              <w:right w:val="single" w:sz="4" w:space="0" w:color="auto"/>
            </w:tcBorders>
            <w:vAlign w:val="center"/>
          </w:tcPr>
          <w:p w14:paraId="616C5CFD" w14:textId="77777777" w:rsidR="00460D54" w:rsidRDefault="00460D54" w:rsidP="009621F0">
            <w:pPr>
              <w:spacing w:before="60" w:after="60" w:line="240" w:lineRule="auto"/>
              <w:jc w:val="center"/>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5 %</w:t>
            </w:r>
          </w:p>
        </w:tc>
        <w:tc>
          <w:tcPr>
            <w:tcW w:w="1684" w:type="dxa"/>
            <w:tcBorders>
              <w:top w:val="single" w:sz="4" w:space="0" w:color="auto"/>
              <w:bottom w:val="single" w:sz="4" w:space="0" w:color="auto"/>
              <w:right w:val="single" w:sz="4" w:space="0" w:color="auto"/>
            </w:tcBorders>
            <w:vAlign w:val="center"/>
          </w:tcPr>
          <w:p w14:paraId="153834D9" w14:textId="77777777" w:rsidR="00460D54" w:rsidRDefault="00460D54" w:rsidP="009621F0">
            <w:pPr>
              <w:spacing w:before="60" w:after="60" w:line="240" w:lineRule="auto"/>
              <w:jc w:val="center"/>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10 %</w:t>
            </w:r>
          </w:p>
        </w:tc>
      </w:tr>
      <w:tr w:rsidR="00460D54" w14:paraId="739194B9" w14:textId="77777777" w:rsidTr="00930724">
        <w:trPr>
          <w:cantSplit/>
          <w:trHeight w:val="454"/>
        </w:trPr>
        <w:tc>
          <w:tcPr>
            <w:tcW w:w="2855" w:type="dxa"/>
            <w:tcBorders>
              <w:top w:val="single" w:sz="4" w:space="0" w:color="auto"/>
              <w:left w:val="single" w:sz="4" w:space="0" w:color="auto"/>
              <w:right w:val="single" w:sz="4" w:space="0" w:color="auto"/>
            </w:tcBorders>
            <w:vAlign w:val="center"/>
          </w:tcPr>
          <w:p w14:paraId="0A89F5D5" w14:textId="77777777" w:rsidR="00460D54" w:rsidRDefault="00460D54" w:rsidP="009621F0">
            <w:pPr>
              <w:spacing w:before="60" w:after="60" w:line="240" w:lineRule="auto"/>
              <w:rPr>
                <w:rFonts w:eastAsia="Times New Roman" w:cs="Times New Roman"/>
                <w:color w:val="000000"/>
                <w:sz w:val="20"/>
                <w:szCs w:val="20"/>
                <w:lang w:eastAsia="cs-CZ"/>
              </w:rPr>
            </w:pPr>
            <w:r>
              <w:rPr>
                <w:rFonts w:eastAsia="Times New Roman" w:cs="Times New Roman"/>
                <w:color w:val="000000"/>
                <w:sz w:val="20"/>
                <w:szCs w:val="20"/>
                <w:lang w:eastAsia="cs-CZ"/>
              </w:rPr>
              <w:t>Tísňová péče</w:t>
            </w:r>
          </w:p>
        </w:tc>
        <w:tc>
          <w:tcPr>
            <w:tcW w:w="1965" w:type="dxa"/>
            <w:tcBorders>
              <w:top w:val="single" w:sz="4" w:space="0" w:color="auto"/>
              <w:right w:val="single" w:sz="4" w:space="0" w:color="auto"/>
            </w:tcBorders>
            <w:vAlign w:val="center"/>
          </w:tcPr>
          <w:p w14:paraId="05CA0912" w14:textId="77777777" w:rsidR="00460D54" w:rsidRDefault="00460D54" w:rsidP="009621F0">
            <w:pPr>
              <w:spacing w:before="60" w:after="60" w:line="240" w:lineRule="auto"/>
              <w:rPr>
                <w:sz w:val="20"/>
                <w:szCs w:val="20"/>
              </w:rPr>
            </w:pPr>
            <w:r>
              <w:rPr>
                <w:sz w:val="20"/>
                <w:szCs w:val="20"/>
              </w:rPr>
              <w:t>Průměrný přepočtený úvazek PP</w:t>
            </w:r>
          </w:p>
        </w:tc>
        <w:tc>
          <w:tcPr>
            <w:tcW w:w="1214" w:type="dxa"/>
            <w:tcBorders>
              <w:top w:val="single" w:sz="4" w:space="0" w:color="auto"/>
              <w:right w:val="single" w:sz="4" w:space="0" w:color="auto"/>
            </w:tcBorders>
            <w:vAlign w:val="center"/>
          </w:tcPr>
          <w:p w14:paraId="32CAB1AF" w14:textId="77777777" w:rsidR="00460D54" w:rsidRDefault="00460D54" w:rsidP="009621F0">
            <w:pPr>
              <w:spacing w:before="60" w:after="60" w:line="240" w:lineRule="auto"/>
              <w:jc w:val="center"/>
              <w:rPr>
                <w:rFonts w:eastAsia="Times New Roman" w:cs="Times New Roman"/>
                <w:color w:val="000000"/>
                <w:sz w:val="20"/>
                <w:szCs w:val="20"/>
                <w:lang w:eastAsia="cs-CZ"/>
              </w:rPr>
            </w:pPr>
            <w:r>
              <w:rPr>
                <w:rFonts w:eastAsia="Times New Roman" w:cs="Times New Roman"/>
                <w:color w:val="000000"/>
                <w:sz w:val="20"/>
                <w:szCs w:val="20"/>
                <w:lang w:eastAsia="cs-CZ"/>
              </w:rPr>
              <w:t>15 %</w:t>
            </w:r>
          </w:p>
        </w:tc>
        <w:tc>
          <w:tcPr>
            <w:tcW w:w="1684" w:type="dxa"/>
            <w:tcBorders>
              <w:top w:val="single" w:sz="4" w:space="0" w:color="auto"/>
              <w:right w:val="single" w:sz="4" w:space="0" w:color="auto"/>
            </w:tcBorders>
            <w:vAlign w:val="center"/>
          </w:tcPr>
          <w:p w14:paraId="250F5E9E" w14:textId="77777777" w:rsidR="00460D54" w:rsidRDefault="00460D54" w:rsidP="009621F0">
            <w:pPr>
              <w:spacing w:before="60" w:after="60" w:line="240" w:lineRule="auto"/>
              <w:jc w:val="center"/>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5 %</w:t>
            </w:r>
          </w:p>
        </w:tc>
        <w:tc>
          <w:tcPr>
            <w:tcW w:w="1684" w:type="dxa"/>
            <w:tcBorders>
              <w:top w:val="single" w:sz="4" w:space="0" w:color="auto"/>
              <w:right w:val="single" w:sz="4" w:space="0" w:color="auto"/>
            </w:tcBorders>
            <w:vAlign w:val="center"/>
          </w:tcPr>
          <w:p w14:paraId="59AD9748" w14:textId="77777777" w:rsidR="00460D54" w:rsidRDefault="00460D54" w:rsidP="009621F0">
            <w:pPr>
              <w:spacing w:before="60" w:after="60" w:line="240" w:lineRule="auto"/>
              <w:jc w:val="center"/>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10 %</w:t>
            </w:r>
          </w:p>
        </w:tc>
      </w:tr>
      <w:tr w:rsidR="00460D54" w14:paraId="19522D07" w14:textId="77777777" w:rsidTr="00930724">
        <w:trPr>
          <w:cantSplit/>
          <w:trHeight w:val="454"/>
        </w:trPr>
        <w:tc>
          <w:tcPr>
            <w:tcW w:w="2855" w:type="dxa"/>
            <w:tcBorders>
              <w:top w:val="single" w:sz="4" w:space="0" w:color="auto"/>
              <w:left w:val="single" w:sz="4" w:space="0" w:color="auto"/>
              <w:bottom w:val="single" w:sz="4" w:space="0" w:color="auto"/>
              <w:right w:val="single" w:sz="4" w:space="0" w:color="auto"/>
            </w:tcBorders>
            <w:vAlign w:val="center"/>
          </w:tcPr>
          <w:p w14:paraId="330368CE" w14:textId="77777777" w:rsidR="00460D54" w:rsidRDefault="00460D54" w:rsidP="009621F0">
            <w:pPr>
              <w:spacing w:before="60" w:after="60" w:line="240" w:lineRule="auto"/>
              <w:rPr>
                <w:rFonts w:ascii="Calibri" w:eastAsia="Times New Roman" w:hAnsi="Calibri" w:cs="Times New Roman"/>
                <w:color w:val="000000"/>
                <w:sz w:val="20"/>
                <w:szCs w:val="20"/>
                <w:lang w:eastAsia="cs-CZ"/>
              </w:rPr>
            </w:pPr>
            <w:r>
              <w:rPr>
                <w:rFonts w:ascii="Calibri" w:eastAsia="Times New Roman" w:hAnsi="Calibri" w:cs="Times New Roman"/>
                <w:color w:val="000000"/>
                <w:sz w:val="20"/>
                <w:szCs w:val="20"/>
                <w:lang w:eastAsia="cs-CZ"/>
              </w:rPr>
              <w:t>Tlumočnické služby</w:t>
            </w:r>
          </w:p>
        </w:tc>
        <w:tc>
          <w:tcPr>
            <w:tcW w:w="1965" w:type="dxa"/>
            <w:tcBorders>
              <w:top w:val="single" w:sz="4" w:space="0" w:color="auto"/>
              <w:bottom w:val="single" w:sz="4" w:space="0" w:color="auto"/>
              <w:right w:val="single" w:sz="4" w:space="0" w:color="auto"/>
            </w:tcBorders>
            <w:vAlign w:val="center"/>
          </w:tcPr>
          <w:p w14:paraId="1FDBC963" w14:textId="77777777" w:rsidR="00460D54" w:rsidRDefault="00460D54" w:rsidP="009621F0">
            <w:pPr>
              <w:spacing w:before="60" w:after="60" w:line="240" w:lineRule="auto"/>
              <w:rPr>
                <w:rFonts w:ascii="Calibri" w:hAnsi="Calibri"/>
                <w:color w:val="000000"/>
                <w:sz w:val="20"/>
                <w:szCs w:val="20"/>
              </w:rPr>
            </w:pPr>
            <w:r>
              <w:rPr>
                <w:sz w:val="20"/>
                <w:szCs w:val="20"/>
              </w:rPr>
              <w:t>Průměrný přepočtený úvazek PP</w:t>
            </w:r>
          </w:p>
        </w:tc>
        <w:tc>
          <w:tcPr>
            <w:tcW w:w="1214" w:type="dxa"/>
            <w:tcBorders>
              <w:top w:val="single" w:sz="4" w:space="0" w:color="auto"/>
              <w:bottom w:val="single" w:sz="4" w:space="0" w:color="auto"/>
              <w:right w:val="single" w:sz="4" w:space="0" w:color="auto"/>
            </w:tcBorders>
            <w:vAlign w:val="center"/>
          </w:tcPr>
          <w:p w14:paraId="4DC98EE4"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20 %</w:t>
            </w:r>
          </w:p>
        </w:tc>
        <w:tc>
          <w:tcPr>
            <w:tcW w:w="1684" w:type="dxa"/>
            <w:tcBorders>
              <w:top w:val="single" w:sz="4" w:space="0" w:color="auto"/>
              <w:bottom w:val="single" w:sz="4" w:space="0" w:color="auto"/>
              <w:right w:val="single" w:sz="4" w:space="0" w:color="auto"/>
            </w:tcBorders>
            <w:vAlign w:val="center"/>
          </w:tcPr>
          <w:p w14:paraId="487B95F2"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6,7 %</w:t>
            </w:r>
          </w:p>
        </w:tc>
        <w:tc>
          <w:tcPr>
            <w:tcW w:w="1684" w:type="dxa"/>
            <w:tcBorders>
              <w:top w:val="single" w:sz="4" w:space="0" w:color="auto"/>
              <w:bottom w:val="single" w:sz="4" w:space="0" w:color="auto"/>
              <w:right w:val="single" w:sz="4" w:space="0" w:color="auto"/>
            </w:tcBorders>
            <w:vAlign w:val="center"/>
          </w:tcPr>
          <w:p w14:paraId="48344BF1" w14:textId="77777777" w:rsidR="00460D54" w:rsidRDefault="00460D54" w:rsidP="009621F0">
            <w:pPr>
              <w:spacing w:before="60" w:after="60" w:line="240" w:lineRule="auto"/>
              <w:jc w:val="center"/>
              <w:rPr>
                <w:rFonts w:ascii="Calibri" w:hAnsi="Calibri"/>
                <w:color w:val="000000"/>
                <w:sz w:val="20"/>
                <w:szCs w:val="20"/>
              </w:rPr>
            </w:pPr>
            <w:r>
              <w:rPr>
                <w:rFonts w:ascii="Calibri" w:eastAsia="Times New Roman" w:hAnsi="Calibri" w:cs="Times New Roman"/>
                <w:color w:val="000000"/>
                <w:sz w:val="20"/>
                <w:szCs w:val="20"/>
                <w:lang w:eastAsia="cs-CZ"/>
              </w:rPr>
              <w:t>13,3 %</w:t>
            </w:r>
          </w:p>
        </w:tc>
      </w:tr>
    </w:tbl>
    <w:p w14:paraId="00961C2B" w14:textId="77777777" w:rsidR="00475554" w:rsidRDefault="00157B87">
      <w:pPr>
        <w:spacing w:before="120" w:after="120"/>
        <w:jc w:val="both"/>
        <w:rPr>
          <w:i/>
          <w:sz w:val="20"/>
          <w:szCs w:val="20"/>
        </w:rPr>
      </w:pPr>
      <w:r>
        <w:rPr>
          <w:sz w:val="20"/>
          <w:szCs w:val="20"/>
        </w:rPr>
        <w:t xml:space="preserve">* </w:t>
      </w:r>
      <w:r>
        <w:rPr>
          <w:i/>
          <w:sz w:val="20"/>
          <w:szCs w:val="20"/>
        </w:rPr>
        <w:t>Druh sociální služby není v ZK zastoupen.</w:t>
      </w:r>
    </w:p>
    <w:p w14:paraId="776F4235" w14:textId="77777777" w:rsidR="00475554" w:rsidRDefault="00475554">
      <w:pPr>
        <w:spacing w:before="120" w:after="120"/>
        <w:jc w:val="both"/>
      </w:pPr>
    </w:p>
    <w:p w14:paraId="024BD4B8" w14:textId="77769858" w:rsidR="00475554" w:rsidRDefault="00157B87">
      <w:pPr>
        <w:spacing w:before="120" w:after="120"/>
        <w:jc w:val="both"/>
      </w:pPr>
      <w:r>
        <w:t xml:space="preserve">Předpokládané </w:t>
      </w:r>
      <w:r w:rsidR="000816EA">
        <w:t xml:space="preserve">modelované </w:t>
      </w:r>
      <w:r>
        <w:t>podíly územních samosprávných celků uvedené v Tabulce č. 6 se nepoužijí pro financování sociálních služeb, na které Zlínský kraj získá finanční prostředky v rámci individuálních projektů spolufinancovaných z Operačního programu Zaměstnanost</w:t>
      </w:r>
      <w:r w:rsidR="00EE49FE">
        <w:t xml:space="preserve"> plus</w:t>
      </w:r>
      <w:r>
        <w:t>, případně dalších individuálních projektů spolufinancovaných z fondů EU. Podíl kofinancování z úrovně ÚSC v tomto případě stanoví příslušný Program.</w:t>
      </w:r>
      <w:r w:rsidR="009C03EC">
        <w:t xml:space="preserve"> </w:t>
      </w:r>
      <w:r w:rsidR="009C03EC" w:rsidRPr="00872D97">
        <w:rPr>
          <w:highlight w:val="yellow"/>
        </w:rPr>
        <w:t xml:space="preserve">Stanovené podíly se také nepoužijí v případě, kdy veřejným zadavatelem a garantem služby je Zlínský kraj nebo obec a jejich podíl je tak nastaven odlišně. Takové služby jsou </w:t>
      </w:r>
      <w:r w:rsidR="00D520FB">
        <w:rPr>
          <w:highlight w:val="yellow"/>
        </w:rPr>
        <w:t xml:space="preserve">v </w:t>
      </w:r>
      <w:r w:rsidR="009C03EC" w:rsidRPr="00872D97">
        <w:rPr>
          <w:highlight w:val="yellow"/>
        </w:rPr>
        <w:t>Základní síti označeny ve sloupci Skupina.</w:t>
      </w:r>
    </w:p>
    <w:p w14:paraId="322C5077" w14:textId="5ACC82D1" w:rsidR="0011590D" w:rsidRDefault="0011590D">
      <w:r>
        <w:br w:type="page"/>
      </w:r>
    </w:p>
    <w:p w14:paraId="72C37AAB" w14:textId="77777777" w:rsidR="00475554" w:rsidRDefault="00475554">
      <w:pPr>
        <w:spacing w:before="120" w:after="120"/>
        <w:jc w:val="both"/>
      </w:pPr>
    </w:p>
    <w:p w14:paraId="4D35734B" w14:textId="77777777" w:rsidR="00475554" w:rsidRDefault="004E12F0">
      <w:pPr>
        <w:pStyle w:val="Nadpis1"/>
        <w:spacing w:before="120" w:after="120"/>
        <w:ind w:left="709" w:hanging="709"/>
        <w:jc w:val="both"/>
        <w:rPr>
          <w:rFonts w:asciiTheme="minorHAnsi" w:hAnsiTheme="minorHAnsi"/>
          <w:sz w:val="32"/>
          <w:szCs w:val="32"/>
        </w:rPr>
      </w:pPr>
      <w:bookmarkStart w:id="108" w:name="_Toc382770988"/>
      <w:bookmarkStart w:id="109" w:name="_Toc382771094"/>
      <w:bookmarkStart w:id="110" w:name="_Toc382771169"/>
      <w:bookmarkStart w:id="111" w:name="_Toc382771795"/>
      <w:bookmarkStart w:id="112" w:name="_Toc383073938"/>
      <w:bookmarkStart w:id="113" w:name="_Toc382770989"/>
      <w:bookmarkStart w:id="114" w:name="_Toc382771095"/>
      <w:bookmarkStart w:id="115" w:name="_Toc382771170"/>
      <w:bookmarkStart w:id="116" w:name="_Toc382771796"/>
      <w:bookmarkStart w:id="117" w:name="_Toc383073939"/>
      <w:bookmarkStart w:id="118" w:name="_Toc381693848"/>
      <w:bookmarkStart w:id="119" w:name="_Toc381728895"/>
      <w:bookmarkStart w:id="120" w:name="_Toc381732701"/>
      <w:bookmarkStart w:id="121" w:name="_Toc381693849"/>
      <w:bookmarkStart w:id="122" w:name="_Toc381728896"/>
      <w:bookmarkStart w:id="123" w:name="_Toc381732702"/>
      <w:bookmarkStart w:id="124" w:name="_Toc381693850"/>
      <w:bookmarkStart w:id="125" w:name="_Toc381728897"/>
      <w:bookmarkStart w:id="126" w:name="_Toc381732703"/>
      <w:bookmarkStart w:id="127" w:name="_Toc381693858"/>
      <w:bookmarkStart w:id="128" w:name="_Toc381728905"/>
      <w:bookmarkStart w:id="129" w:name="_Toc381732709"/>
      <w:bookmarkStart w:id="130" w:name="_Toc386625221"/>
      <w:bookmarkStart w:id="131" w:name="_Toc386625365"/>
      <w:bookmarkStart w:id="132" w:name="_Toc386625244"/>
      <w:bookmarkStart w:id="133" w:name="_Toc386625388"/>
      <w:bookmarkStart w:id="134" w:name="_Toc386625389"/>
      <w:bookmarkStart w:id="135" w:name="_Toc385925733"/>
      <w:bookmarkStart w:id="136" w:name="_Toc230777930"/>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Fonts w:asciiTheme="minorHAnsi" w:hAnsiTheme="minorHAnsi"/>
          <w:sz w:val="32"/>
          <w:szCs w:val="32"/>
        </w:rPr>
        <w:t>M</w:t>
      </w:r>
      <w:r w:rsidR="00157B87">
        <w:rPr>
          <w:rFonts w:asciiTheme="minorHAnsi" w:hAnsiTheme="minorHAnsi"/>
          <w:sz w:val="32"/>
          <w:szCs w:val="32"/>
        </w:rPr>
        <w:t>echanismy</w:t>
      </w:r>
      <w:bookmarkEnd w:id="134"/>
      <w:bookmarkEnd w:id="135"/>
      <w:r>
        <w:rPr>
          <w:rFonts w:asciiTheme="minorHAnsi" w:hAnsiTheme="minorHAnsi"/>
          <w:sz w:val="32"/>
          <w:szCs w:val="32"/>
        </w:rPr>
        <w:t xml:space="preserve"> stanovení výše vyrovnávací platby</w:t>
      </w:r>
      <w:bookmarkEnd w:id="136"/>
    </w:p>
    <w:p w14:paraId="1694E821" w14:textId="77777777" w:rsidR="004E12F0" w:rsidRPr="007E60A7" w:rsidRDefault="004E12F0" w:rsidP="007E60A7">
      <w:pPr>
        <w:pStyle w:val="Nadpis2"/>
        <w:spacing w:before="120" w:after="120"/>
        <w:ind w:left="709" w:hanging="709"/>
        <w:jc w:val="both"/>
        <w:rPr>
          <w:rFonts w:ascii="Calibri" w:hAnsi="Calibri"/>
          <w:sz w:val="28"/>
          <w:szCs w:val="28"/>
        </w:rPr>
      </w:pPr>
      <w:bookmarkStart w:id="137" w:name="_Toc230777931"/>
      <w:r w:rsidRPr="007E60A7">
        <w:rPr>
          <w:rFonts w:ascii="Calibri" w:hAnsi="Calibri"/>
          <w:sz w:val="28"/>
          <w:szCs w:val="28"/>
        </w:rPr>
        <w:t>Redukční mechanismy</w:t>
      </w:r>
      <w:bookmarkEnd w:id="137"/>
    </w:p>
    <w:p w14:paraId="6999F255" w14:textId="77777777" w:rsidR="00475554" w:rsidRDefault="00475554">
      <w:pPr>
        <w:spacing w:before="120" w:after="120"/>
        <w:jc w:val="both"/>
      </w:pPr>
    </w:p>
    <w:p w14:paraId="51F2977F" w14:textId="730A05BF" w:rsidR="00475554" w:rsidRDefault="00157B87">
      <w:pPr>
        <w:spacing w:before="120" w:after="120"/>
        <w:jc w:val="both"/>
      </w:pPr>
      <w:r>
        <w:t>Mechanismus stanovení výše vyrovnávací platby poskytovatelům sociálních služeb, které jsou v souladu se Střednědobým plánem 202</w:t>
      </w:r>
      <w:r w:rsidR="005D3F6C">
        <w:t>6</w:t>
      </w:r>
      <w:r>
        <w:t>–202</w:t>
      </w:r>
      <w:r w:rsidR="005D3F6C">
        <w:t>8</w:t>
      </w:r>
      <w:r>
        <w:t xml:space="preserve">, představuje způsob stanovení maximálních částek k financování sociálních služeb na území Zlínského kraje v rámci plnění kompetence dané zákonem </w:t>
      </w:r>
      <w:r w:rsidR="00077C41">
        <w:t>č. 108/2006 Sb</w:t>
      </w:r>
      <w:r>
        <w:t>.  Podmínkou pro bezvýhradné uplatnění popsaného mechanismu je předpoklad, že Zlínský kraj obdrží na tuto kompetenci požadovaný objem finančních prostředků ze státního rozpočtu.</w:t>
      </w:r>
    </w:p>
    <w:p w14:paraId="62AABD33" w14:textId="5C442CA9" w:rsidR="00475554" w:rsidRDefault="00157B87">
      <w:pPr>
        <w:spacing w:before="120" w:after="120"/>
        <w:jc w:val="both"/>
      </w:pPr>
      <w:r>
        <w:t>V případě, že Zlínský kraj obdrží ze státního rozpočtu částku nižší, než kterou požadoval/definoval na příslušný kalendářní rok pro zajištění plnění povinností zajišťovat dostupnost poskytování sociálních služeb na svém území v souladu se Střednědobým plánem 202</w:t>
      </w:r>
      <w:r w:rsidR="005D3F6C">
        <w:t>6</w:t>
      </w:r>
      <w:r>
        <w:t>–202</w:t>
      </w:r>
      <w:r w:rsidR="005D3F6C">
        <w:t>8</w:t>
      </w:r>
      <w:r>
        <w:t>, budou uplatněny redukční mechanismy, kterými se maximální objem finanční podpory pro vyrovnávací platbu poskytovatelům sociálních služeb transparentním principem snižuje.</w:t>
      </w:r>
    </w:p>
    <w:p w14:paraId="4B29341B" w14:textId="77777777" w:rsidR="00475554" w:rsidRDefault="00157B87">
      <w:pPr>
        <w:spacing w:before="120" w:after="120"/>
        <w:jc w:val="both"/>
      </w:pPr>
      <w:r>
        <w:t>Redukční mechanismy jsou, v závislosti na objemu finančních prostředků přidělených Zlínskému kraji ze státního rozpočtu, uplatněny ve dvou úrovních.</w:t>
      </w:r>
    </w:p>
    <w:p w14:paraId="06C0BCD7" w14:textId="77777777" w:rsidR="00475554" w:rsidRDefault="00157B87">
      <w:pPr>
        <w:pStyle w:val="Odstavecseseznamem"/>
        <w:numPr>
          <w:ilvl w:val="1"/>
          <w:numId w:val="17"/>
        </w:numPr>
        <w:spacing w:before="120" w:after="120"/>
        <w:ind w:left="284" w:hanging="284"/>
        <w:contextualSpacing w:val="0"/>
        <w:jc w:val="both"/>
      </w:pPr>
      <w:r>
        <w:rPr>
          <w:b/>
        </w:rPr>
        <w:t>úroveň redukce</w:t>
      </w:r>
      <w:r>
        <w:t xml:space="preserve"> – při použití této redukce je postupováno tak, že se předpokládané obvyklé náklady sociálních služeb na stanovenou jednotku sníží </w:t>
      </w:r>
      <w:r w:rsidR="008E7EE9">
        <w:t xml:space="preserve">maximálně </w:t>
      </w:r>
      <w:r>
        <w:t>o předpokládanou míru inflace daného roku</w:t>
      </w:r>
      <w:r>
        <w:rPr>
          <w:rStyle w:val="Znakapoznpodarou"/>
        </w:rPr>
        <w:footnoteReference w:id="5"/>
      </w:r>
      <w:r>
        <w:t>, na který se kompenzace stanoví. Celkový předpokládaný podíl ostatních výnosů z jiných, než veřejných zdrojů není touto změnou ovlivněn.</w:t>
      </w:r>
    </w:p>
    <w:p w14:paraId="2B192D18" w14:textId="1FB43B65" w:rsidR="00475554" w:rsidRDefault="00157B87">
      <w:pPr>
        <w:spacing w:before="120" w:after="120"/>
        <w:ind w:left="284"/>
        <w:jc w:val="both"/>
      </w:pPr>
      <w:r>
        <w:t>V případě, že přes tuto jednostrannou úpravu obvyklých nákladů objem finančních prostředků ze státního rozpočtu nepostačuje, je přistoupeno k druhé úrovni redukce</w:t>
      </w:r>
      <w:r w:rsidR="00315E1D">
        <w:t>, kdy dochází k</w:t>
      </w:r>
      <w:r w:rsidR="00C42EA0">
        <w:t xml:space="preserve"> redukci </w:t>
      </w:r>
      <w:r w:rsidR="005C3EDA">
        <w:t xml:space="preserve">výše </w:t>
      </w:r>
      <w:r w:rsidR="00B85CBA">
        <w:t>vypočtené finanční podpory</w:t>
      </w:r>
      <w:r>
        <w:t>.</w:t>
      </w:r>
    </w:p>
    <w:p w14:paraId="7FE3B2E7" w14:textId="77777777" w:rsidR="00475554" w:rsidRDefault="00157B87">
      <w:pPr>
        <w:pStyle w:val="Odstavecseseznamem"/>
        <w:numPr>
          <w:ilvl w:val="1"/>
          <w:numId w:val="17"/>
        </w:numPr>
        <w:spacing w:before="120" w:after="120"/>
        <w:ind w:left="284" w:hanging="284"/>
        <w:contextualSpacing w:val="0"/>
        <w:jc w:val="both"/>
      </w:pPr>
      <w:r>
        <w:rPr>
          <w:b/>
        </w:rPr>
        <w:t xml:space="preserve">úroveň redukce </w:t>
      </w:r>
      <w:r>
        <w:t>se, bez ohledu na právní formu poskytovatele sociálních služeb, odvíjí od druhu sociální služby v závislosti na možných zdrojích, které mohou poskytovatelé sociálních služeb na zajištění poskytované sociální služby získat z jiných než veřejných zdrojů. Z tohoto hlediska jsou pro účely redukčních mechanismů sociální služby členěny do následujících kategorií uvedených v Tabulce č. 7.</w:t>
      </w:r>
    </w:p>
    <w:p w14:paraId="5D53492B" w14:textId="77777777" w:rsidR="00475554" w:rsidRDefault="00475554">
      <w:pPr>
        <w:spacing w:before="120" w:after="120"/>
        <w:jc w:val="both"/>
      </w:pPr>
    </w:p>
    <w:p w14:paraId="5F2ADD32" w14:textId="4D206024" w:rsidR="00475554" w:rsidRDefault="00157B87">
      <w:pPr>
        <w:pStyle w:val="Titulek"/>
        <w:spacing w:before="120" w:after="120" w:line="276" w:lineRule="auto"/>
        <w:jc w:val="both"/>
        <w:rPr>
          <w:b w:val="0"/>
          <w:color w:val="auto"/>
          <w:spacing w:val="-6"/>
          <w:sz w:val="22"/>
          <w:szCs w:val="22"/>
        </w:rPr>
      </w:pPr>
      <w:bookmarkStart w:id="138" w:name="_Toc230769888"/>
      <w:r>
        <w:rPr>
          <w:color w:val="auto"/>
          <w:spacing w:val="-6"/>
          <w:sz w:val="22"/>
          <w:szCs w:val="22"/>
        </w:rPr>
        <w:t>Tabulka č. </w:t>
      </w:r>
      <w:r>
        <w:rPr>
          <w:color w:val="auto"/>
          <w:spacing w:val="-6"/>
          <w:sz w:val="22"/>
          <w:szCs w:val="22"/>
        </w:rPr>
        <w:fldChar w:fldCharType="begin"/>
      </w:r>
      <w:r>
        <w:rPr>
          <w:color w:val="auto"/>
          <w:spacing w:val="-6"/>
          <w:sz w:val="22"/>
          <w:szCs w:val="22"/>
        </w:rPr>
        <w:instrText xml:space="preserve"> SEQ Tabulka_č. \* ARABIC </w:instrText>
      </w:r>
      <w:r>
        <w:rPr>
          <w:color w:val="auto"/>
          <w:spacing w:val="-6"/>
          <w:sz w:val="22"/>
          <w:szCs w:val="22"/>
        </w:rPr>
        <w:fldChar w:fldCharType="separate"/>
      </w:r>
      <w:r w:rsidR="000A1D98">
        <w:rPr>
          <w:noProof/>
          <w:color w:val="auto"/>
          <w:spacing w:val="-6"/>
          <w:sz w:val="22"/>
          <w:szCs w:val="22"/>
        </w:rPr>
        <w:t>7</w:t>
      </w:r>
      <w:r>
        <w:rPr>
          <w:color w:val="auto"/>
          <w:spacing w:val="-6"/>
          <w:sz w:val="22"/>
          <w:szCs w:val="22"/>
        </w:rPr>
        <w:fldChar w:fldCharType="end"/>
      </w:r>
      <w:r>
        <w:rPr>
          <w:color w:val="auto"/>
          <w:spacing w:val="-6"/>
          <w:sz w:val="22"/>
          <w:szCs w:val="22"/>
        </w:rPr>
        <w:t>:</w:t>
      </w:r>
      <w:r>
        <w:rPr>
          <w:b w:val="0"/>
          <w:color w:val="auto"/>
          <w:spacing w:val="-6"/>
          <w:sz w:val="22"/>
          <w:szCs w:val="22"/>
        </w:rPr>
        <w:t xml:space="preserve"> Maximální redukce </w:t>
      </w:r>
      <w:r w:rsidR="007863F5">
        <w:rPr>
          <w:b w:val="0"/>
          <w:color w:val="auto"/>
          <w:spacing w:val="-6"/>
          <w:sz w:val="22"/>
          <w:szCs w:val="22"/>
        </w:rPr>
        <w:t xml:space="preserve">vypočtené </w:t>
      </w:r>
      <w:r>
        <w:rPr>
          <w:b w:val="0"/>
          <w:color w:val="auto"/>
          <w:spacing w:val="-6"/>
          <w:sz w:val="22"/>
          <w:szCs w:val="22"/>
        </w:rPr>
        <w:t>finanční podpory dle forem poskytování sociálních služeb a základních skupin</w:t>
      </w:r>
      <w:bookmarkEnd w:id="138"/>
    </w:p>
    <w:tbl>
      <w:tblPr>
        <w:tblStyle w:val="Mkatabulky"/>
        <w:tblW w:w="0" w:type="auto"/>
        <w:jc w:val="center"/>
        <w:tblLook w:val="04A0" w:firstRow="1" w:lastRow="0" w:firstColumn="1" w:lastColumn="0" w:noHBand="0" w:noVBand="1"/>
      </w:tblPr>
      <w:tblGrid>
        <w:gridCol w:w="1555"/>
        <w:gridCol w:w="6095"/>
        <w:gridCol w:w="1410"/>
      </w:tblGrid>
      <w:tr w:rsidR="00475554" w14:paraId="4CB6FDC3" w14:textId="77777777">
        <w:trPr>
          <w:cantSplit/>
          <w:trHeight w:val="510"/>
          <w:jc w:val="center"/>
        </w:trPr>
        <w:tc>
          <w:tcPr>
            <w:tcW w:w="1555" w:type="dxa"/>
            <w:shd w:val="clear" w:color="auto" w:fill="D9D9D9" w:themeFill="background1" w:themeFillShade="D9"/>
            <w:vAlign w:val="center"/>
          </w:tcPr>
          <w:p w14:paraId="0A74BA8F" w14:textId="77777777" w:rsidR="00475554" w:rsidRDefault="00157B87">
            <w:pPr>
              <w:spacing w:before="40" w:after="40" w:line="276" w:lineRule="auto"/>
              <w:jc w:val="center"/>
              <w:rPr>
                <w:b/>
                <w:sz w:val="20"/>
                <w:szCs w:val="20"/>
              </w:rPr>
            </w:pPr>
            <w:r>
              <w:rPr>
                <w:b/>
                <w:sz w:val="20"/>
                <w:szCs w:val="20"/>
              </w:rPr>
              <w:t>Kategorie</w:t>
            </w:r>
          </w:p>
        </w:tc>
        <w:tc>
          <w:tcPr>
            <w:tcW w:w="6095" w:type="dxa"/>
            <w:tcBorders>
              <w:bottom w:val="single" w:sz="4" w:space="0" w:color="auto"/>
            </w:tcBorders>
            <w:shd w:val="clear" w:color="auto" w:fill="D9D9D9" w:themeFill="background1" w:themeFillShade="D9"/>
            <w:vAlign w:val="center"/>
          </w:tcPr>
          <w:p w14:paraId="3B25A8F0" w14:textId="77777777" w:rsidR="00475554" w:rsidRDefault="00157B87">
            <w:pPr>
              <w:spacing w:before="40" w:after="40" w:line="276" w:lineRule="auto"/>
              <w:jc w:val="center"/>
              <w:rPr>
                <w:b/>
                <w:sz w:val="20"/>
                <w:szCs w:val="20"/>
              </w:rPr>
            </w:pPr>
            <w:r>
              <w:rPr>
                <w:b/>
                <w:sz w:val="20"/>
                <w:szCs w:val="20"/>
              </w:rPr>
              <w:t>Forma poskytování sociální služby a základní skupina</w:t>
            </w:r>
          </w:p>
        </w:tc>
        <w:tc>
          <w:tcPr>
            <w:tcW w:w="1410" w:type="dxa"/>
            <w:tcBorders>
              <w:bottom w:val="single" w:sz="4" w:space="0" w:color="auto"/>
            </w:tcBorders>
            <w:shd w:val="clear" w:color="auto" w:fill="D9D9D9" w:themeFill="background1" w:themeFillShade="D9"/>
            <w:vAlign w:val="center"/>
          </w:tcPr>
          <w:p w14:paraId="2ECEC060" w14:textId="77777777" w:rsidR="00475554" w:rsidRDefault="00157B87">
            <w:pPr>
              <w:spacing w:before="40" w:after="40" w:line="276" w:lineRule="auto"/>
              <w:jc w:val="center"/>
              <w:rPr>
                <w:b/>
                <w:sz w:val="20"/>
                <w:szCs w:val="20"/>
              </w:rPr>
            </w:pPr>
            <w:r>
              <w:rPr>
                <w:b/>
                <w:sz w:val="20"/>
                <w:szCs w:val="20"/>
              </w:rPr>
              <w:t>Redukce</w:t>
            </w:r>
          </w:p>
        </w:tc>
      </w:tr>
      <w:tr w:rsidR="00475554" w14:paraId="58920844" w14:textId="77777777">
        <w:trPr>
          <w:cantSplit/>
          <w:trHeight w:val="510"/>
          <w:jc w:val="center"/>
        </w:trPr>
        <w:tc>
          <w:tcPr>
            <w:tcW w:w="1555" w:type="dxa"/>
            <w:vAlign w:val="center"/>
          </w:tcPr>
          <w:p w14:paraId="23320858" w14:textId="77777777" w:rsidR="00475554" w:rsidRDefault="00157B87">
            <w:pPr>
              <w:spacing w:before="40" w:after="40" w:line="276" w:lineRule="auto"/>
              <w:rPr>
                <w:sz w:val="20"/>
                <w:szCs w:val="20"/>
              </w:rPr>
            </w:pPr>
            <w:r>
              <w:rPr>
                <w:sz w:val="20"/>
                <w:szCs w:val="20"/>
              </w:rPr>
              <w:t>I. kategorie</w:t>
            </w:r>
          </w:p>
        </w:tc>
        <w:tc>
          <w:tcPr>
            <w:tcW w:w="6095" w:type="dxa"/>
            <w:tcBorders>
              <w:bottom w:val="single" w:sz="4" w:space="0" w:color="auto"/>
            </w:tcBorders>
            <w:vAlign w:val="center"/>
          </w:tcPr>
          <w:p w14:paraId="5176DE07" w14:textId="77777777" w:rsidR="00475554" w:rsidRDefault="00157B87">
            <w:pPr>
              <w:spacing w:before="40" w:after="40" w:line="276" w:lineRule="auto"/>
              <w:rPr>
                <w:sz w:val="20"/>
                <w:szCs w:val="20"/>
              </w:rPr>
            </w:pPr>
            <w:r>
              <w:rPr>
                <w:sz w:val="20"/>
                <w:szCs w:val="20"/>
              </w:rPr>
              <w:t xml:space="preserve">Pobytové služby sociální péče </w:t>
            </w:r>
          </w:p>
        </w:tc>
        <w:tc>
          <w:tcPr>
            <w:tcW w:w="1410" w:type="dxa"/>
            <w:tcBorders>
              <w:bottom w:val="single" w:sz="4" w:space="0" w:color="auto"/>
            </w:tcBorders>
            <w:vAlign w:val="center"/>
          </w:tcPr>
          <w:p w14:paraId="58308603" w14:textId="77777777" w:rsidR="00475554" w:rsidRDefault="00157B87">
            <w:pPr>
              <w:spacing w:before="40" w:after="40" w:line="276" w:lineRule="auto"/>
              <w:jc w:val="center"/>
              <w:rPr>
                <w:sz w:val="20"/>
                <w:szCs w:val="20"/>
              </w:rPr>
            </w:pPr>
            <w:r>
              <w:rPr>
                <w:sz w:val="20"/>
                <w:szCs w:val="20"/>
              </w:rPr>
              <w:t>max. 15 %</w:t>
            </w:r>
          </w:p>
        </w:tc>
      </w:tr>
      <w:tr w:rsidR="00475554" w14:paraId="6C108C8D" w14:textId="77777777">
        <w:trPr>
          <w:cantSplit/>
          <w:trHeight w:val="510"/>
          <w:jc w:val="center"/>
        </w:trPr>
        <w:tc>
          <w:tcPr>
            <w:tcW w:w="1555" w:type="dxa"/>
            <w:vAlign w:val="center"/>
          </w:tcPr>
          <w:p w14:paraId="7553F71C" w14:textId="77777777" w:rsidR="00475554" w:rsidRDefault="00157B87">
            <w:pPr>
              <w:spacing w:before="40" w:after="40" w:line="276" w:lineRule="auto"/>
              <w:rPr>
                <w:sz w:val="20"/>
                <w:szCs w:val="20"/>
              </w:rPr>
            </w:pPr>
            <w:r>
              <w:rPr>
                <w:sz w:val="20"/>
                <w:szCs w:val="20"/>
              </w:rPr>
              <w:t>II. kategorie</w:t>
            </w:r>
          </w:p>
        </w:tc>
        <w:tc>
          <w:tcPr>
            <w:tcW w:w="6095" w:type="dxa"/>
            <w:tcBorders>
              <w:bottom w:val="single" w:sz="4" w:space="0" w:color="auto"/>
            </w:tcBorders>
            <w:vAlign w:val="center"/>
          </w:tcPr>
          <w:p w14:paraId="313BE848" w14:textId="77777777" w:rsidR="00475554" w:rsidRDefault="00157B87">
            <w:pPr>
              <w:spacing w:before="40" w:after="40" w:line="276" w:lineRule="auto"/>
              <w:rPr>
                <w:sz w:val="20"/>
                <w:szCs w:val="20"/>
              </w:rPr>
            </w:pPr>
            <w:r>
              <w:rPr>
                <w:sz w:val="20"/>
                <w:szCs w:val="20"/>
              </w:rPr>
              <w:t>Ambulantní a terénní služby sociální péče</w:t>
            </w:r>
          </w:p>
        </w:tc>
        <w:tc>
          <w:tcPr>
            <w:tcW w:w="1410" w:type="dxa"/>
            <w:tcBorders>
              <w:bottom w:val="single" w:sz="4" w:space="0" w:color="auto"/>
            </w:tcBorders>
            <w:vAlign w:val="center"/>
          </w:tcPr>
          <w:p w14:paraId="624AD66A" w14:textId="77777777" w:rsidR="00475554" w:rsidRDefault="00157B87">
            <w:pPr>
              <w:spacing w:before="40" w:after="40" w:line="276" w:lineRule="auto"/>
              <w:jc w:val="center"/>
              <w:rPr>
                <w:sz w:val="20"/>
                <w:szCs w:val="20"/>
              </w:rPr>
            </w:pPr>
            <w:r>
              <w:rPr>
                <w:sz w:val="20"/>
                <w:szCs w:val="20"/>
              </w:rPr>
              <w:t>max. 10 %</w:t>
            </w:r>
          </w:p>
        </w:tc>
      </w:tr>
      <w:tr w:rsidR="00475554" w14:paraId="0394D8EB" w14:textId="77777777">
        <w:trPr>
          <w:cantSplit/>
          <w:trHeight w:val="510"/>
          <w:jc w:val="center"/>
        </w:trPr>
        <w:tc>
          <w:tcPr>
            <w:tcW w:w="1555" w:type="dxa"/>
            <w:vAlign w:val="center"/>
          </w:tcPr>
          <w:p w14:paraId="51ECFA94" w14:textId="77777777" w:rsidR="00475554" w:rsidRDefault="00157B87">
            <w:pPr>
              <w:spacing w:before="40" w:after="40" w:line="276" w:lineRule="auto"/>
              <w:rPr>
                <w:sz w:val="20"/>
                <w:szCs w:val="20"/>
              </w:rPr>
            </w:pPr>
            <w:r>
              <w:rPr>
                <w:sz w:val="20"/>
                <w:szCs w:val="20"/>
              </w:rPr>
              <w:t>III. kategorie</w:t>
            </w:r>
          </w:p>
        </w:tc>
        <w:tc>
          <w:tcPr>
            <w:tcW w:w="6095" w:type="dxa"/>
            <w:tcBorders>
              <w:bottom w:val="single" w:sz="4" w:space="0" w:color="auto"/>
            </w:tcBorders>
            <w:vAlign w:val="center"/>
          </w:tcPr>
          <w:p w14:paraId="0B55D543" w14:textId="77777777" w:rsidR="00475554" w:rsidRDefault="00157B87">
            <w:pPr>
              <w:spacing w:before="40" w:after="40" w:line="276" w:lineRule="auto"/>
              <w:rPr>
                <w:sz w:val="20"/>
                <w:szCs w:val="20"/>
              </w:rPr>
            </w:pPr>
            <w:r>
              <w:rPr>
                <w:sz w:val="20"/>
                <w:szCs w:val="20"/>
              </w:rPr>
              <w:t>Pobytové služby sociální prevence</w:t>
            </w:r>
          </w:p>
        </w:tc>
        <w:tc>
          <w:tcPr>
            <w:tcW w:w="1410" w:type="dxa"/>
            <w:tcBorders>
              <w:bottom w:val="single" w:sz="4" w:space="0" w:color="auto"/>
            </w:tcBorders>
            <w:vAlign w:val="center"/>
          </w:tcPr>
          <w:p w14:paraId="76E3287A" w14:textId="77777777" w:rsidR="00475554" w:rsidRDefault="00157B87">
            <w:pPr>
              <w:spacing w:before="40" w:after="40" w:line="276" w:lineRule="auto"/>
              <w:jc w:val="center"/>
              <w:rPr>
                <w:sz w:val="20"/>
                <w:szCs w:val="20"/>
              </w:rPr>
            </w:pPr>
            <w:r>
              <w:rPr>
                <w:sz w:val="20"/>
                <w:szCs w:val="20"/>
              </w:rPr>
              <w:t>max. 7 %</w:t>
            </w:r>
          </w:p>
        </w:tc>
      </w:tr>
      <w:tr w:rsidR="00475554" w14:paraId="3A230E17" w14:textId="77777777">
        <w:trPr>
          <w:cantSplit/>
          <w:trHeight w:val="510"/>
          <w:jc w:val="center"/>
        </w:trPr>
        <w:tc>
          <w:tcPr>
            <w:tcW w:w="1555" w:type="dxa"/>
            <w:vAlign w:val="center"/>
          </w:tcPr>
          <w:p w14:paraId="005267F2" w14:textId="77777777" w:rsidR="00475554" w:rsidRDefault="00157B87">
            <w:pPr>
              <w:spacing w:before="40" w:after="40" w:line="276" w:lineRule="auto"/>
              <w:rPr>
                <w:sz w:val="20"/>
                <w:szCs w:val="20"/>
              </w:rPr>
            </w:pPr>
            <w:r>
              <w:rPr>
                <w:sz w:val="20"/>
                <w:szCs w:val="20"/>
              </w:rPr>
              <w:lastRenderedPageBreak/>
              <w:t>IV. kategorie</w:t>
            </w:r>
          </w:p>
        </w:tc>
        <w:tc>
          <w:tcPr>
            <w:tcW w:w="6095" w:type="dxa"/>
            <w:tcBorders>
              <w:bottom w:val="single" w:sz="4" w:space="0" w:color="auto"/>
            </w:tcBorders>
            <w:vAlign w:val="center"/>
          </w:tcPr>
          <w:p w14:paraId="746A67B5" w14:textId="77777777" w:rsidR="00475554" w:rsidRDefault="00157B87">
            <w:pPr>
              <w:spacing w:before="40" w:after="40" w:line="276" w:lineRule="auto"/>
              <w:rPr>
                <w:sz w:val="20"/>
                <w:szCs w:val="20"/>
              </w:rPr>
            </w:pPr>
            <w:r>
              <w:rPr>
                <w:sz w:val="20"/>
                <w:szCs w:val="20"/>
              </w:rPr>
              <w:t>Služby sociálního poradenství</w:t>
            </w:r>
          </w:p>
        </w:tc>
        <w:tc>
          <w:tcPr>
            <w:tcW w:w="1410" w:type="dxa"/>
            <w:tcBorders>
              <w:bottom w:val="single" w:sz="4" w:space="0" w:color="auto"/>
            </w:tcBorders>
            <w:vAlign w:val="center"/>
          </w:tcPr>
          <w:p w14:paraId="31197ED2" w14:textId="77777777" w:rsidR="00475554" w:rsidRDefault="00157B87">
            <w:pPr>
              <w:spacing w:before="40" w:after="40" w:line="276" w:lineRule="auto"/>
              <w:jc w:val="center"/>
              <w:rPr>
                <w:sz w:val="20"/>
                <w:szCs w:val="20"/>
              </w:rPr>
            </w:pPr>
            <w:r>
              <w:rPr>
                <w:sz w:val="20"/>
                <w:szCs w:val="20"/>
              </w:rPr>
              <w:t>max. 6 %</w:t>
            </w:r>
          </w:p>
        </w:tc>
      </w:tr>
      <w:tr w:rsidR="00475554" w14:paraId="6A226D10" w14:textId="77777777">
        <w:trPr>
          <w:cantSplit/>
          <w:trHeight w:val="510"/>
          <w:jc w:val="center"/>
        </w:trPr>
        <w:tc>
          <w:tcPr>
            <w:tcW w:w="1555" w:type="dxa"/>
            <w:vAlign w:val="center"/>
          </w:tcPr>
          <w:p w14:paraId="6DE04CFD" w14:textId="77777777" w:rsidR="00475554" w:rsidRDefault="00157B87">
            <w:pPr>
              <w:spacing w:before="40" w:after="40" w:line="276" w:lineRule="auto"/>
              <w:rPr>
                <w:sz w:val="20"/>
                <w:szCs w:val="20"/>
              </w:rPr>
            </w:pPr>
            <w:r>
              <w:rPr>
                <w:sz w:val="20"/>
                <w:szCs w:val="20"/>
              </w:rPr>
              <w:t>V. kategorie</w:t>
            </w:r>
          </w:p>
        </w:tc>
        <w:tc>
          <w:tcPr>
            <w:tcW w:w="6095" w:type="dxa"/>
            <w:vAlign w:val="center"/>
          </w:tcPr>
          <w:p w14:paraId="50F66E6F" w14:textId="77777777" w:rsidR="00475554" w:rsidRDefault="00157B87">
            <w:pPr>
              <w:spacing w:before="40" w:after="40" w:line="276" w:lineRule="auto"/>
              <w:rPr>
                <w:sz w:val="20"/>
                <w:szCs w:val="20"/>
              </w:rPr>
            </w:pPr>
            <w:r>
              <w:rPr>
                <w:sz w:val="20"/>
                <w:szCs w:val="20"/>
              </w:rPr>
              <w:t>Ambulantní a terénní služby sociální prevence</w:t>
            </w:r>
          </w:p>
        </w:tc>
        <w:tc>
          <w:tcPr>
            <w:tcW w:w="1410" w:type="dxa"/>
            <w:vAlign w:val="center"/>
          </w:tcPr>
          <w:p w14:paraId="18F78127" w14:textId="77777777" w:rsidR="00475554" w:rsidRDefault="00157B87">
            <w:pPr>
              <w:spacing w:before="40" w:after="40" w:line="276" w:lineRule="auto"/>
              <w:jc w:val="center"/>
              <w:rPr>
                <w:sz w:val="20"/>
                <w:szCs w:val="20"/>
              </w:rPr>
            </w:pPr>
            <w:r>
              <w:rPr>
                <w:sz w:val="20"/>
                <w:szCs w:val="20"/>
              </w:rPr>
              <w:t>max. 5 %</w:t>
            </w:r>
          </w:p>
        </w:tc>
      </w:tr>
    </w:tbl>
    <w:p w14:paraId="45BEEBFC" w14:textId="77777777" w:rsidR="003F0E79" w:rsidRDefault="003F0E79" w:rsidP="004E1D7F">
      <w:pPr>
        <w:widowControl w:val="0"/>
        <w:autoSpaceDE w:val="0"/>
        <w:autoSpaceDN w:val="0"/>
        <w:adjustRightInd w:val="0"/>
        <w:spacing w:before="120" w:after="120"/>
        <w:jc w:val="both"/>
        <w:rPr>
          <w:rFonts w:eastAsia="Times New Roman" w:cstheme="minorHAnsi"/>
          <w:lang w:eastAsia="cs-CZ"/>
        </w:rPr>
      </w:pPr>
    </w:p>
    <w:p w14:paraId="7681A144" w14:textId="77777777" w:rsidR="009A5966" w:rsidRDefault="00157B87" w:rsidP="006572F4">
      <w:pPr>
        <w:pStyle w:val="Odstavecseseznamem"/>
        <w:spacing w:before="120" w:after="120"/>
        <w:ind w:left="0"/>
        <w:contextualSpacing w:val="0"/>
        <w:jc w:val="both"/>
      </w:pPr>
      <w:r>
        <w:t xml:space="preserve">Při uplatňování I. úrovně a II. úrovně redukce může Zlínský kraj využít možnost neredukovat </w:t>
      </w:r>
      <w:r w:rsidR="006572F4" w:rsidRPr="00BB7B5A">
        <w:rPr>
          <w:highlight w:val="yellow"/>
        </w:rPr>
        <w:t>nebo redukovat pouze částečně</w:t>
      </w:r>
      <w:r w:rsidR="006572F4">
        <w:t xml:space="preserve"> </w:t>
      </w:r>
      <w:r>
        <w:t>sociální služby, které</w:t>
      </w:r>
      <w:r w:rsidR="009A5966">
        <w:t>:</w:t>
      </w:r>
    </w:p>
    <w:p w14:paraId="2DA25249" w14:textId="309AF380" w:rsidR="009A5966" w:rsidRDefault="009A5966" w:rsidP="006572F4">
      <w:pPr>
        <w:pStyle w:val="Odstavecseseznamem"/>
        <w:spacing w:before="120" w:after="120"/>
        <w:ind w:left="0"/>
        <w:contextualSpacing w:val="0"/>
        <w:jc w:val="both"/>
      </w:pPr>
      <w:r>
        <w:t>-</w:t>
      </w:r>
      <w:r w:rsidR="00157B87">
        <w:t xml:space="preserve"> </w:t>
      </w:r>
      <w:r w:rsidR="00902062">
        <w:t>vycházejí z identifikovaných potřeb</w:t>
      </w:r>
      <w:r w:rsidR="002F66CE">
        <w:t>,</w:t>
      </w:r>
      <w:r>
        <w:t xml:space="preserve"> </w:t>
      </w:r>
      <w:r w:rsidRPr="00BB7B5A">
        <w:rPr>
          <w:highlight w:val="yellow"/>
        </w:rPr>
        <w:t>v souladu s procesem plánování, nebo</w:t>
      </w:r>
      <w:r>
        <w:t xml:space="preserve"> </w:t>
      </w:r>
    </w:p>
    <w:p w14:paraId="051C6492" w14:textId="5C0C95D8" w:rsidR="009A5966" w:rsidRDefault="009A5966" w:rsidP="006572F4">
      <w:pPr>
        <w:pStyle w:val="Odstavecseseznamem"/>
        <w:spacing w:before="120" w:after="120"/>
        <w:ind w:left="0"/>
        <w:contextualSpacing w:val="0"/>
        <w:jc w:val="both"/>
      </w:pPr>
      <w:r>
        <w:t xml:space="preserve">- </w:t>
      </w:r>
      <w:r w:rsidRPr="00BB7B5A">
        <w:rPr>
          <w:highlight w:val="yellow"/>
        </w:rPr>
        <w:t>jsou v souladu s prioritami dotačního řízení vyhlášenými pro příslušný dotační rok MPSV v příloze „Principy a priority dotačního řízení pro kraje a hlavní město Prahu na podporu poskytování sociálních služeb“</w:t>
      </w:r>
      <w:r w:rsidR="002F66CE" w:rsidRPr="00BB7B5A">
        <w:rPr>
          <w:highlight w:val="yellow"/>
        </w:rPr>
        <w:t xml:space="preserve"> </w:t>
      </w:r>
      <w:r w:rsidRPr="00BB7B5A">
        <w:rPr>
          <w:highlight w:val="yellow"/>
        </w:rPr>
        <w:t>nebo</w:t>
      </w:r>
    </w:p>
    <w:p w14:paraId="4079704B" w14:textId="79B77F3E" w:rsidR="00655A5F" w:rsidRDefault="009A5966" w:rsidP="006572F4">
      <w:pPr>
        <w:pStyle w:val="Odstavecseseznamem"/>
        <w:spacing w:before="120" w:after="120"/>
        <w:ind w:left="0"/>
        <w:contextualSpacing w:val="0"/>
        <w:jc w:val="both"/>
      </w:pPr>
      <w:r>
        <w:t>-</w:t>
      </w:r>
      <w:r w:rsidR="00E94586">
        <w:t xml:space="preserve"> </w:t>
      </w:r>
      <w:r w:rsidR="00E94586" w:rsidRPr="00BB7B5A">
        <w:rPr>
          <w:highlight w:val="yellow"/>
        </w:rPr>
        <w:t>z objektivních důvodů</w:t>
      </w:r>
      <w:r w:rsidR="002F66CE" w:rsidRPr="00BB7B5A">
        <w:rPr>
          <w:highlight w:val="yellow"/>
        </w:rPr>
        <w:t xml:space="preserve"> </w:t>
      </w:r>
      <w:r w:rsidR="00655A5F" w:rsidRPr="00BB7B5A">
        <w:rPr>
          <w:highlight w:val="yellow"/>
        </w:rPr>
        <w:t>mají</w:t>
      </w:r>
      <w:r w:rsidR="00E94586" w:rsidRPr="00BB7B5A">
        <w:rPr>
          <w:highlight w:val="yellow"/>
        </w:rPr>
        <w:t>, zvláště u zdroje Uživatel,</w:t>
      </w:r>
      <w:r w:rsidR="00655A5F" w:rsidRPr="00BB7B5A">
        <w:rPr>
          <w:highlight w:val="yellow"/>
        </w:rPr>
        <w:t xml:space="preserve"> nedostatečnou</w:t>
      </w:r>
      <w:r w:rsidR="002F66CE" w:rsidRPr="00BB7B5A">
        <w:rPr>
          <w:highlight w:val="yellow"/>
        </w:rPr>
        <w:t xml:space="preserve"> možnost získat </w:t>
      </w:r>
      <w:r w:rsidR="00E94586" w:rsidRPr="00BB7B5A">
        <w:rPr>
          <w:highlight w:val="yellow"/>
        </w:rPr>
        <w:t xml:space="preserve">potřebnou výši </w:t>
      </w:r>
      <w:r w:rsidR="002F66CE" w:rsidRPr="00BB7B5A">
        <w:rPr>
          <w:highlight w:val="yellow"/>
        </w:rPr>
        <w:t xml:space="preserve">zdroje </w:t>
      </w:r>
      <w:r w:rsidR="00655A5F" w:rsidRPr="00BB7B5A">
        <w:rPr>
          <w:highlight w:val="yellow"/>
        </w:rPr>
        <w:t>a</w:t>
      </w:r>
      <w:r w:rsidRPr="00BB7B5A">
        <w:rPr>
          <w:highlight w:val="yellow"/>
        </w:rPr>
        <w:t xml:space="preserve"> bylo</w:t>
      </w:r>
      <w:r w:rsidR="00655A5F" w:rsidRPr="00BB7B5A">
        <w:rPr>
          <w:highlight w:val="yellow"/>
        </w:rPr>
        <w:t xml:space="preserve"> by</w:t>
      </w:r>
      <w:r w:rsidRPr="00BB7B5A">
        <w:rPr>
          <w:highlight w:val="yellow"/>
        </w:rPr>
        <w:t xml:space="preserve"> ohroženo jejich fungování</w:t>
      </w:r>
      <w:r w:rsidR="00157B87" w:rsidRPr="00BB7B5A">
        <w:rPr>
          <w:highlight w:val="yellow"/>
        </w:rPr>
        <w:t>.</w:t>
      </w:r>
      <w:r w:rsidR="00B62156">
        <w:t xml:space="preserve"> </w:t>
      </w:r>
    </w:p>
    <w:p w14:paraId="092FAACA" w14:textId="724BF2C2" w:rsidR="00475554" w:rsidRDefault="00B62156">
      <w:pPr>
        <w:pStyle w:val="Odstavecseseznamem"/>
        <w:spacing w:before="120" w:after="120"/>
        <w:ind w:left="0"/>
        <w:contextualSpacing w:val="0"/>
        <w:jc w:val="both"/>
      </w:pPr>
      <w:r>
        <w:t>K uplatnění redukce nemusí dojít také v případě</w:t>
      </w:r>
      <w:r w:rsidRPr="00B62156">
        <w:t xml:space="preserve"> </w:t>
      </w:r>
      <w:r w:rsidR="001951C8">
        <w:t xml:space="preserve">procesních změn, např. u </w:t>
      </w:r>
      <w:r w:rsidRPr="00B62156">
        <w:t>sociální</w:t>
      </w:r>
      <w:r>
        <w:t>ch služeb, u nichž by došlo k poklesu výše dotace pod úroveň předchozího období na základě</w:t>
      </w:r>
      <w:r w:rsidRPr="00B62156">
        <w:t xml:space="preserve"> začlenění druhů služeb do skupin služeb se stejným stanoveným obvyklým nákladem</w:t>
      </w:r>
      <w:r>
        <w:t xml:space="preserve"> z</w:t>
      </w:r>
      <w:r w:rsidRPr="00B62156">
        <w:t xml:space="preserve"> důvodu naplňování </w:t>
      </w:r>
      <w:r>
        <w:t>o</w:t>
      </w:r>
      <w:r w:rsidRPr="00B62156">
        <w:t>patření Akčního plán</w:t>
      </w:r>
      <w:r>
        <w:t>u pro daný rok.</w:t>
      </w:r>
      <w:r w:rsidR="006C35CC">
        <w:t xml:space="preserve"> </w:t>
      </w:r>
      <w:r w:rsidR="00157B87">
        <w:t>V případě, že objem finančních prostředků poskytnutých Zlínskému kraji ze státního rozpočtu na příslušný kalendářní rok k financování sociálních služeb zařazených do Základní sítě nebo Dočasné sítě vydefinované v rámci Akčního plánu pro daný rok bude natolik nižší, že nebude možné použití výše uvedených systémů redukčních mechanismů, bude Radou Zlínského kraje schválen takový mechanismus redukce maximální podpory poskytovatelům sociálních služeb ve Zlínském kraji respektující výši přidělených finančních prostředků ze státního rozpočtu, a to za dodržení principu transparentnosti a jednotnosti přístupu k poskytovatelům sociálních služeb bez ohledu na jejich právní formu.</w:t>
      </w:r>
    </w:p>
    <w:p w14:paraId="697518B1" w14:textId="42D5843A" w:rsidR="009F21A7" w:rsidRDefault="009F21A7">
      <w:pPr>
        <w:pStyle w:val="Odstavecseseznamem"/>
        <w:spacing w:before="120" w:after="120"/>
        <w:ind w:left="0"/>
        <w:contextualSpacing w:val="0"/>
        <w:jc w:val="both"/>
      </w:pPr>
      <w:r>
        <w:t xml:space="preserve">Při rušení </w:t>
      </w:r>
      <w:r w:rsidR="006C7529">
        <w:t>aplikované</w:t>
      </w:r>
      <w:r w:rsidR="00CB6751">
        <w:t xml:space="preserve"> I. úrovně</w:t>
      </w:r>
      <w:r>
        <w:t xml:space="preserve"> redukc</w:t>
      </w:r>
      <w:r w:rsidR="00CB6751">
        <w:t>e</w:t>
      </w:r>
      <w:r>
        <w:t xml:space="preserve"> </w:t>
      </w:r>
      <w:r w:rsidR="00D304F9">
        <w:t xml:space="preserve">Zlínský kraj </w:t>
      </w:r>
      <w:r w:rsidR="009B7E4E">
        <w:t>může uplatnit</w:t>
      </w:r>
      <w:r w:rsidR="006C7529">
        <w:t xml:space="preserve"> </w:t>
      </w:r>
      <w:r w:rsidR="009B7E4E">
        <w:t xml:space="preserve">odlišný </w:t>
      </w:r>
      <w:r w:rsidR="006C7529">
        <w:t>přístup k redukovaným</w:t>
      </w:r>
      <w:r w:rsidR="00D304F9">
        <w:t xml:space="preserve"> sociální</w:t>
      </w:r>
      <w:r w:rsidR="006C7529">
        <w:t>m</w:t>
      </w:r>
      <w:r w:rsidR="00D304F9">
        <w:t xml:space="preserve"> služb</w:t>
      </w:r>
      <w:r w:rsidR="006C7529">
        <w:t>ám</w:t>
      </w:r>
      <w:r w:rsidR="00D304F9">
        <w:t xml:space="preserve"> </w:t>
      </w:r>
      <w:r w:rsidR="006C7529">
        <w:t xml:space="preserve">ve vazbě na prioritní potřeby dle Střednědobého plánu </w:t>
      </w:r>
      <w:r w:rsidR="006C7529" w:rsidRPr="00464EBC">
        <w:t>2026–2028</w:t>
      </w:r>
      <w:r w:rsidR="006C7529">
        <w:t>.</w:t>
      </w:r>
    </w:p>
    <w:p w14:paraId="04B7C32E" w14:textId="676BB8E2" w:rsidR="00475554" w:rsidRDefault="00C048A4">
      <w:pPr>
        <w:spacing w:before="120" w:after="120"/>
        <w:jc w:val="both"/>
      </w:pPr>
      <w:r>
        <w:t xml:space="preserve">Redukční mechanismy se neuplatní na poskytnutí </w:t>
      </w:r>
      <w:r w:rsidR="00157B87">
        <w:t xml:space="preserve">finančních </w:t>
      </w:r>
      <w:r w:rsidR="00157B87">
        <w:rPr>
          <w:color w:val="000000" w:themeColor="text1"/>
        </w:rPr>
        <w:t>prostředků</w:t>
      </w:r>
      <w:r w:rsidR="005D3F6C">
        <w:rPr>
          <w:color w:val="000000" w:themeColor="text1"/>
        </w:rPr>
        <w:t xml:space="preserve"> z vlastních zdrojů Zlínského kraje a prostředků</w:t>
      </w:r>
      <w:r w:rsidR="00157B87">
        <w:rPr>
          <w:color w:val="000000" w:themeColor="text1"/>
        </w:rPr>
        <w:t>, které Zlínský kraj získá v rámci individuálních projektů spolufinancovaných z Operačního programu Zaměstnanost</w:t>
      </w:r>
      <w:r w:rsidR="00EE49FE">
        <w:rPr>
          <w:color w:val="000000" w:themeColor="text1"/>
        </w:rPr>
        <w:t xml:space="preserve"> plus</w:t>
      </w:r>
      <w:r w:rsidR="00157B87">
        <w:rPr>
          <w:color w:val="000000" w:themeColor="text1"/>
        </w:rPr>
        <w:t>, případně dalších individuálních projektů spolufinancovaných z fondů EU</w:t>
      </w:r>
      <w:r w:rsidR="00157B87">
        <w:t>.</w:t>
      </w:r>
    </w:p>
    <w:p w14:paraId="18C76D3E" w14:textId="77777777" w:rsidR="00475554" w:rsidRDefault="00475554">
      <w:pPr>
        <w:spacing w:before="120" w:after="120"/>
        <w:jc w:val="both"/>
      </w:pPr>
    </w:p>
    <w:p w14:paraId="35B69979" w14:textId="0EEA141C" w:rsidR="00DE23BA" w:rsidRPr="001A6D03" w:rsidRDefault="00DE23BA" w:rsidP="007E60A7">
      <w:pPr>
        <w:pStyle w:val="Nadpis2"/>
        <w:spacing w:before="120" w:after="120"/>
        <w:ind w:left="709" w:hanging="709"/>
        <w:jc w:val="both"/>
        <w:rPr>
          <w:rFonts w:ascii="Calibri" w:hAnsi="Calibri"/>
          <w:sz w:val="28"/>
          <w:szCs w:val="28"/>
        </w:rPr>
      </w:pPr>
      <w:bookmarkStart w:id="139" w:name="_Toc101344732"/>
      <w:bookmarkStart w:id="140" w:name="_Toc230777932"/>
      <w:r w:rsidRPr="001A6D03">
        <w:rPr>
          <w:rFonts w:ascii="Calibri" w:hAnsi="Calibri"/>
          <w:sz w:val="28"/>
          <w:szCs w:val="28"/>
        </w:rPr>
        <w:t xml:space="preserve">Bonifikace </w:t>
      </w:r>
      <w:bookmarkEnd w:id="139"/>
      <w:r w:rsidR="00464EBC">
        <w:rPr>
          <w:rFonts w:ascii="Calibri" w:hAnsi="Calibri"/>
          <w:sz w:val="28"/>
          <w:szCs w:val="28"/>
        </w:rPr>
        <w:t xml:space="preserve">finanční podpory </w:t>
      </w:r>
      <w:r w:rsidR="00E86C01">
        <w:rPr>
          <w:rFonts w:ascii="Calibri" w:hAnsi="Calibri"/>
          <w:sz w:val="28"/>
          <w:szCs w:val="28"/>
        </w:rPr>
        <w:t xml:space="preserve">/malus </w:t>
      </w:r>
      <w:r w:rsidR="00464EBC">
        <w:rPr>
          <w:rFonts w:ascii="Calibri" w:hAnsi="Calibri"/>
          <w:sz w:val="28"/>
          <w:szCs w:val="28"/>
        </w:rPr>
        <w:t xml:space="preserve">pro sociální </w:t>
      </w:r>
      <w:r w:rsidR="00C26BEE">
        <w:rPr>
          <w:rFonts w:ascii="Calibri" w:hAnsi="Calibri"/>
          <w:sz w:val="28"/>
          <w:szCs w:val="28"/>
        </w:rPr>
        <w:t>služby</w:t>
      </w:r>
      <w:bookmarkEnd w:id="140"/>
      <w:r w:rsidRPr="001A6D03">
        <w:rPr>
          <w:rFonts w:ascii="Calibri" w:hAnsi="Calibri"/>
          <w:sz w:val="28"/>
          <w:szCs w:val="28"/>
        </w:rPr>
        <w:t xml:space="preserve"> </w:t>
      </w:r>
    </w:p>
    <w:p w14:paraId="057744A8" w14:textId="77777777" w:rsidR="00464EBC" w:rsidRDefault="00464EBC" w:rsidP="4813B1C2">
      <w:pPr>
        <w:pStyle w:val="Odstavecseseznamem"/>
        <w:spacing w:before="120" w:after="120"/>
        <w:ind w:left="0"/>
        <w:jc w:val="both"/>
      </w:pPr>
    </w:p>
    <w:p w14:paraId="6DBE5989" w14:textId="3D1A4EF5" w:rsidR="003D64C8" w:rsidRPr="0056124C" w:rsidRDefault="00B577FB" w:rsidP="4813B1C2">
      <w:pPr>
        <w:pStyle w:val="Odstavecseseznamem"/>
        <w:spacing w:before="120" w:after="120"/>
        <w:ind w:left="0"/>
        <w:jc w:val="both"/>
      </w:pPr>
      <w:r>
        <w:t xml:space="preserve">Bonifikace </w:t>
      </w:r>
      <w:r w:rsidR="00B60D2B">
        <w:t xml:space="preserve">sociálních služeb je proces, </w:t>
      </w:r>
      <w:r>
        <w:t>kdy dochází k</w:t>
      </w:r>
      <w:r w:rsidR="00B60D2B">
        <w:t>e zvýšení</w:t>
      </w:r>
      <w:r>
        <w:t xml:space="preserve"> vypočtené dotace </w:t>
      </w:r>
      <w:r w:rsidR="00B60D2B">
        <w:t xml:space="preserve">pro sociální službu </w:t>
      </w:r>
      <w:r>
        <w:t xml:space="preserve">ze státního rozpočtu </w:t>
      </w:r>
      <w:r w:rsidR="00B60D2B">
        <w:t>v rámci vyrovnávací platby. Důvody pro bonifikaci</w:t>
      </w:r>
      <w:r w:rsidR="004361F4">
        <w:t xml:space="preserve"> vychází z</w:t>
      </w:r>
      <w:r w:rsidR="00E4153F">
        <w:t xml:space="preserve"> analýz souvisejících se změnou fungování sítě a </w:t>
      </w:r>
      <w:r w:rsidR="004361F4">
        <w:t>opatření Akčního plánu pro rok 202</w:t>
      </w:r>
      <w:r w:rsidR="15DA59E2">
        <w:t>7</w:t>
      </w:r>
      <w:r w:rsidR="004361F4">
        <w:t xml:space="preserve">. </w:t>
      </w:r>
      <w:r w:rsidR="00C92F79">
        <w:t xml:space="preserve">Zlínský kraj může bonifikovat sociální služby naplňující </w:t>
      </w:r>
      <w:r w:rsidR="00464EBC">
        <w:t xml:space="preserve">požadavky definované v Příloze č. 1 Střednědobého plánu 2026–2028 (POPIS POŽADAVKŮ SMĚŘUJÍCÍCH K NAPLNĚNÍ VIZE STŘEDNĚDOBÉHO PLÁNU 2026–2028 PRO JEDNOTLIVÉ DRUHY SOCIÁLNÍCH SLUŽEB), tedy naplnění role v síti dle požadavků veřejného zadavatele. </w:t>
      </w:r>
      <w:r w:rsidR="0004152F">
        <w:t xml:space="preserve">Tato bonifikace nadále probíhá u odlehčovacích služeb terénních a pobytových v souladu s jednotlivými Programy kraje za podmínky dodržení požadavků stanovených v Příloze č. </w:t>
      </w:r>
      <w:r w:rsidR="00464EBC">
        <w:t>1</w:t>
      </w:r>
      <w:r w:rsidR="0004152F">
        <w:t xml:space="preserve"> Střednědobého plánu 202</w:t>
      </w:r>
      <w:r w:rsidR="00464EBC">
        <w:t>6</w:t>
      </w:r>
      <w:r w:rsidR="0004152F">
        <w:t>–202</w:t>
      </w:r>
      <w:r w:rsidR="00464EBC">
        <w:t>8</w:t>
      </w:r>
      <w:r w:rsidR="0004152F">
        <w:t>.</w:t>
      </w:r>
    </w:p>
    <w:p w14:paraId="7EC08260" w14:textId="47941DD0" w:rsidR="00237739" w:rsidRDefault="00321948" w:rsidP="0056124C">
      <w:pPr>
        <w:spacing w:line="257" w:lineRule="auto"/>
        <w:jc w:val="both"/>
        <w:rPr>
          <w:rFonts w:eastAsia="Arial" w:cs="Arial"/>
        </w:rPr>
      </w:pPr>
      <w:r w:rsidRPr="4813B1C2">
        <w:rPr>
          <w:rFonts w:eastAsia="Arial" w:cs="Arial"/>
        </w:rPr>
        <w:t>K b</w:t>
      </w:r>
      <w:r w:rsidR="00237739" w:rsidRPr="4813B1C2">
        <w:rPr>
          <w:rFonts w:eastAsia="Arial" w:cs="Arial"/>
        </w:rPr>
        <w:t>onifikac</w:t>
      </w:r>
      <w:r w:rsidRPr="4813B1C2">
        <w:rPr>
          <w:rFonts w:eastAsia="Arial" w:cs="Arial"/>
        </w:rPr>
        <w:t>i může kraj přistoupit</w:t>
      </w:r>
      <w:r w:rsidR="00656895" w:rsidRPr="4813B1C2">
        <w:rPr>
          <w:rFonts w:eastAsia="Arial" w:cs="Arial"/>
        </w:rPr>
        <w:t xml:space="preserve"> u</w:t>
      </w:r>
      <w:r w:rsidR="00237739" w:rsidRPr="4813B1C2">
        <w:rPr>
          <w:rFonts w:eastAsia="Arial" w:cs="Arial"/>
        </w:rPr>
        <w:t xml:space="preserve"> poskytovatel</w:t>
      </w:r>
      <w:r w:rsidR="00656895" w:rsidRPr="4813B1C2">
        <w:rPr>
          <w:rFonts w:eastAsia="Arial" w:cs="Arial"/>
        </w:rPr>
        <w:t>e sociální služby</w:t>
      </w:r>
      <w:r w:rsidR="00237739" w:rsidRPr="4813B1C2">
        <w:rPr>
          <w:rFonts w:eastAsia="Arial" w:cs="Arial"/>
        </w:rPr>
        <w:t>, který poskytuje sociální službu s prokazatelně vyšší náročností péče</w:t>
      </w:r>
      <w:r w:rsidR="00656895" w:rsidRPr="4813B1C2">
        <w:rPr>
          <w:rFonts w:eastAsia="Arial" w:cs="Arial"/>
        </w:rPr>
        <w:t xml:space="preserve"> a </w:t>
      </w:r>
      <w:r w:rsidR="00237739" w:rsidRPr="4813B1C2">
        <w:rPr>
          <w:rFonts w:eastAsia="Arial" w:cs="Arial"/>
        </w:rPr>
        <w:t>vykazuj</w:t>
      </w:r>
      <w:r w:rsidR="00656895" w:rsidRPr="4813B1C2">
        <w:rPr>
          <w:rFonts w:eastAsia="Arial" w:cs="Arial"/>
        </w:rPr>
        <w:t>ící</w:t>
      </w:r>
      <w:r w:rsidR="00237739" w:rsidRPr="4813B1C2">
        <w:rPr>
          <w:rFonts w:eastAsia="Arial" w:cs="Arial"/>
        </w:rPr>
        <w:t xml:space="preserve"> i vyšší finanční náročnost</w:t>
      </w:r>
      <w:r w:rsidR="00901C0C">
        <w:rPr>
          <w:rFonts w:eastAsia="Arial" w:cs="Arial"/>
        </w:rPr>
        <w:t>. Tyto služby</w:t>
      </w:r>
      <w:r w:rsidR="00901C0C" w:rsidRPr="00464EBC">
        <w:t xml:space="preserve"> vyžadují vysoké personální nastavení s ohledem na zajištění bezpečnosti uživatelů a pracovníků služby</w:t>
      </w:r>
      <w:r w:rsidR="00526E06">
        <w:t>.</w:t>
      </w:r>
      <w:r w:rsidR="00901C0C">
        <w:rPr>
          <w:rFonts w:eastAsia="Arial" w:cs="Arial"/>
        </w:rPr>
        <w:t xml:space="preserve"> </w:t>
      </w:r>
      <w:r w:rsidR="008E6F10">
        <w:rPr>
          <w:rFonts w:eastAsia="Arial" w:cs="Arial"/>
        </w:rPr>
        <w:t xml:space="preserve">Jedná se například </w:t>
      </w:r>
      <w:r w:rsidR="008E6F10">
        <w:rPr>
          <w:rFonts w:eastAsia="Arial" w:cs="Arial"/>
        </w:rPr>
        <w:lastRenderedPageBreak/>
        <w:t xml:space="preserve">o služby pro </w:t>
      </w:r>
      <w:r w:rsidR="008E6F10">
        <w:t>osoby s duálními diagnózami, osoby s poruchami chování</w:t>
      </w:r>
      <w:r w:rsidR="00901C0C">
        <w:t xml:space="preserve"> a </w:t>
      </w:r>
      <w:r w:rsidR="008E6F10">
        <w:t xml:space="preserve">osoby s duševním onemocněním vyvolaným účinkem alkoholu, dále </w:t>
      </w:r>
      <w:r w:rsidR="00902D99">
        <w:t>pak může roz</w:t>
      </w:r>
      <w:r w:rsidR="00B34AFB">
        <w:t xml:space="preserve">hodovat velikost domácností nebo </w:t>
      </w:r>
      <w:r w:rsidR="0033267B">
        <w:t>požadavky na</w:t>
      </w:r>
      <w:r w:rsidR="00B34AFB">
        <w:t xml:space="preserve"> personální zajištění služby ve vztahu k potřebám cílové skupiny</w:t>
      </w:r>
      <w:r w:rsidR="008E6F10">
        <w:t>.</w:t>
      </w:r>
      <w:r w:rsidR="00013AC8">
        <w:t xml:space="preserve"> N</w:t>
      </w:r>
      <w:r w:rsidR="007F59D9">
        <w:t xml:space="preserve">astavení služby vždy </w:t>
      </w:r>
      <w:r w:rsidR="00E8376B">
        <w:t>předchází</w:t>
      </w:r>
      <w:r w:rsidR="007F59D9">
        <w:t xml:space="preserve"> projednání s koordinátorem </w:t>
      </w:r>
      <w:r w:rsidR="00E8376B" w:rsidRPr="00E8376B">
        <w:t>procesu tvorby plánu na Odboru sociálních věcí KÚZK</w:t>
      </w:r>
      <w:r w:rsidR="00730C30">
        <w:t>.</w:t>
      </w:r>
      <w:r w:rsidR="008E6F10">
        <w:t xml:space="preserve"> </w:t>
      </w:r>
      <w:r w:rsidR="00237739" w:rsidRPr="4813B1C2">
        <w:rPr>
          <w:rFonts w:eastAsia="Arial" w:cs="Arial"/>
        </w:rPr>
        <w:t>Poskytovatel těchto služeb je posuzován v kategorii daného druhu sociální služby, případně cílové skupiny a kapacity, při výpočtu finanční podpory je pracováno se standardně nastaveným obvyklým nákladem pro daný druh sociální služby. To, co je však odlišné v rámci výpočtu vyrovnávací platby, je podíl ze strany státního rozpočtu, kdy dochází k „bonifikaci</w:t>
      </w:r>
      <w:r w:rsidR="00901C0C">
        <w:rPr>
          <w:rFonts w:eastAsia="Arial" w:cs="Arial"/>
        </w:rPr>
        <w:t>“,</w:t>
      </w:r>
      <w:r w:rsidR="00237739" w:rsidRPr="4813B1C2">
        <w:rPr>
          <w:rFonts w:eastAsia="Arial" w:cs="Arial"/>
        </w:rPr>
        <w:t xml:space="preserve"> tedy zvýšení vypočtené dotace ze státního rozpočtu tak, aby poskytovatel sociální služby dokázal pokrýt nezbytné náklady na personální a provozní zajištění sociální služby. </w:t>
      </w:r>
    </w:p>
    <w:p w14:paraId="246B0154" w14:textId="37184B9B" w:rsidR="00237739" w:rsidRPr="00AD7996" w:rsidRDefault="00237739" w:rsidP="0056124C">
      <w:pPr>
        <w:spacing w:line="257" w:lineRule="auto"/>
        <w:jc w:val="both"/>
      </w:pPr>
      <w:r w:rsidRPr="4813B1C2">
        <w:rPr>
          <w:rFonts w:eastAsia="Arial" w:cs="Arial"/>
        </w:rPr>
        <w:t xml:space="preserve">Při nastavování obvyklých výnosů </w:t>
      </w:r>
      <w:r w:rsidR="00901C0C">
        <w:rPr>
          <w:rFonts w:eastAsia="Arial" w:cs="Arial"/>
        </w:rPr>
        <w:t xml:space="preserve">dochází ke sjednocování </w:t>
      </w:r>
      <w:r w:rsidRPr="4813B1C2">
        <w:rPr>
          <w:rFonts w:eastAsia="Arial" w:cs="Arial"/>
        </w:rPr>
        <w:t>u skupin sociálních služeb</w:t>
      </w:r>
      <w:r w:rsidR="00901C0C">
        <w:rPr>
          <w:rFonts w:eastAsia="Arial" w:cs="Arial"/>
        </w:rPr>
        <w:t>, které plní obdobné úkony a jsou srovnatelně financovány</w:t>
      </w:r>
      <w:r w:rsidRPr="4813B1C2">
        <w:rPr>
          <w:rFonts w:eastAsia="Arial" w:cs="Arial"/>
        </w:rPr>
        <w:t xml:space="preserve">. V případě, že sjednocením obvyklých výnosů u služeb dojde k meziročnímu poklesu výše poskytnuté dotace ze státního rozpočtu, je možné tyto služby bonifikovat. </w:t>
      </w:r>
    </w:p>
    <w:p w14:paraId="2BE258E0" w14:textId="04995366" w:rsidR="00B577FB" w:rsidRDefault="004361F4" w:rsidP="141AB6C4">
      <w:pPr>
        <w:pStyle w:val="Odstavecseseznamem"/>
        <w:spacing w:before="120" w:after="120"/>
        <w:ind w:left="0"/>
        <w:jc w:val="both"/>
        <w:rPr>
          <w:rFonts w:eastAsia="Arial" w:cs="Arial"/>
        </w:rPr>
      </w:pPr>
      <w:r>
        <w:t>P</w:t>
      </w:r>
      <w:r w:rsidR="00B577FB">
        <w:t xml:space="preserve">odkladem pro </w:t>
      </w:r>
      <w:r>
        <w:t xml:space="preserve">další </w:t>
      </w:r>
      <w:r w:rsidR="00B577FB">
        <w:t>případnou bonifikaci služeb pro rok 202</w:t>
      </w:r>
      <w:r w:rsidR="73248886">
        <w:t>7</w:t>
      </w:r>
      <w:r w:rsidR="00B577FB">
        <w:t xml:space="preserve"> </w:t>
      </w:r>
      <w:r w:rsidR="00C54941">
        <w:t>m</w:t>
      </w:r>
      <w:r w:rsidR="00DB32A5">
        <w:t>ohou být</w:t>
      </w:r>
      <w:r w:rsidR="00C54941">
        <w:t xml:space="preserve"> </w:t>
      </w:r>
      <w:r w:rsidR="00B577FB">
        <w:t>výstupy z</w:t>
      </w:r>
      <w:r w:rsidR="00DB32A5">
        <w:t> </w:t>
      </w:r>
      <w:r w:rsidR="00B577FB">
        <w:t>analýzy údajů od poskytovatelů sociálních služeb ze sběru pilotních dat</w:t>
      </w:r>
      <w:r w:rsidR="00DB32A5">
        <w:t xml:space="preserve"> u vybraných druhů sociálních služeb</w:t>
      </w:r>
      <w:r w:rsidR="00464EBC">
        <w:t xml:space="preserve"> (nově sledováno pro sociální službu druhu podpora samostatného bydlení)</w:t>
      </w:r>
      <w:r w:rsidR="00820F0E">
        <w:t>.</w:t>
      </w:r>
      <w:r w:rsidR="00B577FB">
        <w:t xml:space="preserve"> </w:t>
      </w:r>
      <w:r w:rsidR="00EF24B6" w:rsidRPr="0B0510C0">
        <w:rPr>
          <w:rFonts w:eastAsia="Arial" w:cs="Arial"/>
        </w:rPr>
        <w:t>V souladu s opatřením č. 1.1.</w:t>
      </w:r>
      <w:r w:rsidR="34D573B7" w:rsidRPr="0B0510C0">
        <w:rPr>
          <w:rFonts w:eastAsia="Arial" w:cs="Arial"/>
        </w:rPr>
        <w:t>15</w:t>
      </w:r>
      <w:r w:rsidR="00EF24B6" w:rsidRPr="0B0510C0">
        <w:rPr>
          <w:rFonts w:eastAsia="Arial" w:cs="Arial"/>
        </w:rPr>
        <w:t xml:space="preserve"> Akčního plánu rozvoje sociálních služeb ve Zlínském kraji pro rok 202</w:t>
      </w:r>
      <w:r w:rsidR="28879F6B" w:rsidRPr="0B0510C0">
        <w:rPr>
          <w:rFonts w:eastAsia="Arial" w:cs="Arial"/>
        </w:rPr>
        <w:t>7</w:t>
      </w:r>
      <w:r w:rsidR="00EF24B6" w:rsidRPr="0B0510C0">
        <w:rPr>
          <w:rFonts w:eastAsia="Arial" w:cs="Arial"/>
        </w:rPr>
        <w:t xml:space="preserve"> bude </w:t>
      </w:r>
      <w:r w:rsidR="00C54941" w:rsidRPr="0B0510C0">
        <w:rPr>
          <w:rFonts w:eastAsia="Arial" w:cs="Arial"/>
        </w:rPr>
        <w:t xml:space="preserve">také </w:t>
      </w:r>
      <w:r w:rsidR="00EF24B6" w:rsidRPr="0B0510C0">
        <w:rPr>
          <w:rFonts w:eastAsia="Arial" w:cs="Arial"/>
        </w:rPr>
        <w:t>cílem Zlínského kraje zajistit od poskytovatelů relevantní data vykazovaná v průběžných rozpočtech sociálních služeb pro případnou bonifikaci v rámci dofinancování v průběhu roku.</w:t>
      </w:r>
    </w:p>
    <w:p w14:paraId="2435287E" w14:textId="77777777" w:rsidR="00901C0C" w:rsidRDefault="00901C0C" w:rsidP="00464EBC">
      <w:pPr>
        <w:pStyle w:val="Odstavecseseznamem"/>
        <w:spacing w:before="120" w:after="120"/>
        <w:ind w:left="0"/>
        <w:jc w:val="both"/>
      </w:pPr>
    </w:p>
    <w:p w14:paraId="37D247D6" w14:textId="6464CB4A" w:rsidR="00464EBC" w:rsidRDefault="00464EBC" w:rsidP="00464EBC">
      <w:pPr>
        <w:pStyle w:val="Odstavecseseznamem"/>
        <w:spacing w:before="120" w:after="120"/>
        <w:ind w:left="0"/>
        <w:jc w:val="both"/>
      </w:pPr>
      <w:r>
        <w:t>V souladu s opatřením 1.1.</w:t>
      </w:r>
      <w:r w:rsidR="01EA6C97">
        <w:t>15</w:t>
      </w:r>
      <w:r>
        <w:t xml:space="preserve"> Akčního plánu rozvoje sociálních služeb ve Zlínském kraji pro rok 202</w:t>
      </w:r>
      <w:r w:rsidR="5619033F">
        <w:t>7</w:t>
      </w:r>
      <w:r>
        <w:t xml:space="preserve"> bude Zlínský kraj ke zvýšení efektivity využívání finančních zdrojů a naplňování požadavků veřejných zadavatelů dále nastavovat opačný mechanismus tzv. malus</w:t>
      </w:r>
      <w:r w:rsidR="00E86C01">
        <w:t xml:space="preserve">. </w:t>
      </w:r>
      <w:r w:rsidR="00C03507" w:rsidRPr="00E63E36">
        <w:rPr>
          <w:highlight w:val="yellow"/>
        </w:rPr>
        <w:t>Týká se konkrétních druhů sociálních služeb, u kte</w:t>
      </w:r>
      <w:r w:rsidR="00FD3FFC" w:rsidRPr="00E63E36">
        <w:rPr>
          <w:highlight w:val="yellow"/>
        </w:rPr>
        <w:t>r</w:t>
      </w:r>
      <w:r w:rsidR="00C03507" w:rsidRPr="00E63E36">
        <w:rPr>
          <w:highlight w:val="yellow"/>
        </w:rPr>
        <w:t>ých je nastaven Harmonogram změn a jsou u nich nastavena kritéria pro zachování kapacity v síti kraje</w:t>
      </w:r>
      <w:r w:rsidR="00C03507">
        <w:t xml:space="preserve">. </w:t>
      </w:r>
    </w:p>
    <w:p w14:paraId="487DC881" w14:textId="4749C6BB" w:rsidR="5B069939" w:rsidRDefault="5B069939" w:rsidP="5B069939">
      <w:pPr>
        <w:pStyle w:val="Odstavecseseznamem"/>
        <w:spacing w:before="120" w:after="120"/>
        <w:ind w:left="0"/>
        <w:jc w:val="both"/>
      </w:pPr>
    </w:p>
    <w:p w14:paraId="3DA43D5D" w14:textId="2B18A467" w:rsidR="00464EBC" w:rsidRDefault="00B577FB" w:rsidP="00820F0E">
      <w:pPr>
        <w:pStyle w:val="Odstavecseseznamem"/>
        <w:spacing w:before="120" w:after="120"/>
        <w:ind w:left="0"/>
        <w:contextualSpacing w:val="0"/>
        <w:jc w:val="both"/>
      </w:pPr>
      <w:r w:rsidRPr="004F51B2">
        <w:t>Blíže bud</w:t>
      </w:r>
      <w:r w:rsidR="00464EBC">
        <w:t>ou</w:t>
      </w:r>
      <w:r w:rsidRPr="004F51B2">
        <w:t xml:space="preserve"> bonifikace </w:t>
      </w:r>
      <w:r w:rsidR="00464EBC">
        <w:t xml:space="preserve">a malus </w:t>
      </w:r>
      <w:r w:rsidRPr="004F51B2">
        <w:t>popsán</w:t>
      </w:r>
      <w:r w:rsidR="00464EBC">
        <w:t>y</w:t>
      </w:r>
      <w:r w:rsidRPr="004F51B2">
        <w:t xml:space="preserve"> v </w:t>
      </w:r>
      <w:r w:rsidRPr="004F51B2">
        <w:rPr>
          <w:b/>
        </w:rPr>
        <w:t>Programech</w:t>
      </w:r>
      <w:r w:rsidRPr="004F51B2">
        <w:t xml:space="preserve"> vyhlašovaných Zlínským krajem a schvalovaných Radou Zlínského kraje na financování sociálních služeb z prostředků dotace poskytnuté MPSV kraji, z vlastních finančních prostředků, z dotace poskytnuté v rámci individuálních projektů spolufinancovaných z Operačního programu Zaměstnanost plus, případně z dalších individuálních projektů spolufinancovaných z fondů EU, případě z jiných veřejných zdrojů.</w:t>
      </w:r>
    </w:p>
    <w:p w14:paraId="5590A26B" w14:textId="77777777" w:rsidR="00464EBC" w:rsidRDefault="00464EBC" w:rsidP="00820F0E">
      <w:pPr>
        <w:pStyle w:val="Odstavecseseznamem"/>
        <w:spacing w:before="120" w:after="120"/>
        <w:ind w:left="0"/>
        <w:contextualSpacing w:val="0"/>
        <w:jc w:val="both"/>
      </w:pPr>
    </w:p>
    <w:p w14:paraId="25785FEB" w14:textId="30234EBE" w:rsidR="00475554" w:rsidRDefault="00157B87" w:rsidP="00820F0E">
      <w:pPr>
        <w:pStyle w:val="Odstavecseseznamem"/>
        <w:spacing w:before="120" w:after="120"/>
        <w:ind w:left="0"/>
        <w:contextualSpacing w:val="0"/>
        <w:jc w:val="both"/>
      </w:pPr>
      <w:r>
        <w:br w:type="page"/>
      </w:r>
    </w:p>
    <w:p w14:paraId="16048C58" w14:textId="77777777" w:rsidR="00475554" w:rsidRDefault="00157B87">
      <w:pPr>
        <w:pStyle w:val="Nadpis1"/>
        <w:spacing w:before="120" w:after="120"/>
        <w:ind w:left="709" w:hanging="709"/>
        <w:jc w:val="both"/>
        <w:rPr>
          <w:rFonts w:asciiTheme="minorHAnsi" w:hAnsiTheme="minorHAnsi"/>
          <w:sz w:val="32"/>
          <w:szCs w:val="32"/>
        </w:rPr>
      </w:pPr>
      <w:bookmarkStart w:id="141" w:name="_Toc386625246"/>
      <w:bookmarkStart w:id="142" w:name="_Toc386625390"/>
      <w:bookmarkStart w:id="143" w:name="_Toc382771018"/>
      <w:bookmarkStart w:id="144" w:name="_Toc382771124"/>
      <w:bookmarkStart w:id="145" w:name="_Toc382771199"/>
      <w:bookmarkStart w:id="146" w:name="_Toc382771825"/>
      <w:bookmarkStart w:id="147" w:name="_Toc383073968"/>
      <w:bookmarkStart w:id="148" w:name="_Toc382771019"/>
      <w:bookmarkStart w:id="149" w:name="_Toc382771125"/>
      <w:bookmarkStart w:id="150" w:name="_Toc382771200"/>
      <w:bookmarkStart w:id="151" w:name="_Toc382771826"/>
      <w:bookmarkStart w:id="152" w:name="_Toc383073969"/>
      <w:bookmarkStart w:id="153" w:name="_Toc382771024"/>
      <w:bookmarkStart w:id="154" w:name="_Toc382771130"/>
      <w:bookmarkStart w:id="155" w:name="_Toc382771205"/>
      <w:bookmarkStart w:id="156" w:name="_Toc382771831"/>
      <w:bookmarkStart w:id="157" w:name="_Toc383073974"/>
      <w:bookmarkStart w:id="158" w:name="_Toc382771026"/>
      <w:bookmarkStart w:id="159" w:name="_Toc382771132"/>
      <w:bookmarkStart w:id="160" w:name="_Toc382771207"/>
      <w:bookmarkStart w:id="161" w:name="_Toc382771833"/>
      <w:bookmarkStart w:id="162" w:name="_Toc383073976"/>
      <w:bookmarkStart w:id="163" w:name="_Toc382771029"/>
      <w:bookmarkStart w:id="164" w:name="_Toc382771135"/>
      <w:bookmarkStart w:id="165" w:name="_Toc382771210"/>
      <w:bookmarkStart w:id="166" w:name="_Toc382771836"/>
      <w:bookmarkStart w:id="167" w:name="_Toc383073979"/>
      <w:bookmarkStart w:id="168" w:name="_Toc382771030"/>
      <w:bookmarkStart w:id="169" w:name="_Toc382771136"/>
      <w:bookmarkStart w:id="170" w:name="_Toc382771211"/>
      <w:bookmarkStart w:id="171" w:name="_Toc382771837"/>
      <w:bookmarkStart w:id="172" w:name="_Toc383073980"/>
      <w:bookmarkStart w:id="173" w:name="_Toc386625391"/>
      <w:bookmarkStart w:id="174" w:name="_Toc385925734"/>
      <w:bookmarkStart w:id="175" w:name="_Toc230777933"/>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Fonts w:asciiTheme="minorHAnsi" w:hAnsiTheme="minorHAnsi"/>
          <w:sz w:val="32"/>
          <w:szCs w:val="32"/>
        </w:rPr>
        <w:lastRenderedPageBreak/>
        <w:t>Pověřovací akt</w:t>
      </w:r>
      <w:bookmarkEnd w:id="173"/>
      <w:bookmarkEnd w:id="174"/>
      <w:bookmarkEnd w:id="175"/>
    </w:p>
    <w:p w14:paraId="4788DADE" w14:textId="77777777" w:rsidR="00475554" w:rsidRDefault="00475554">
      <w:pPr>
        <w:spacing w:before="120" w:after="120"/>
        <w:jc w:val="both"/>
        <w:rPr>
          <w:rFonts w:ascii="Calibri" w:hAnsi="Calibri"/>
        </w:rPr>
      </w:pPr>
    </w:p>
    <w:p w14:paraId="68415AC0" w14:textId="77777777" w:rsidR="00475554" w:rsidRDefault="00157B87">
      <w:pPr>
        <w:spacing w:before="120" w:after="240"/>
        <w:jc w:val="both"/>
        <w:rPr>
          <w:rFonts w:cs="Arial"/>
          <w:color w:val="000000" w:themeColor="text1"/>
        </w:rPr>
      </w:pPr>
      <w:r>
        <w:t>Pověřovací akt obsahuje zejména:</w:t>
      </w:r>
    </w:p>
    <w:p w14:paraId="2E436B5E" w14:textId="5A207F8C" w:rsidR="00475554" w:rsidRDefault="00157B87">
      <w:pPr>
        <w:pStyle w:val="Odstavecseseznamem"/>
        <w:numPr>
          <w:ilvl w:val="0"/>
          <w:numId w:val="24"/>
        </w:numPr>
        <w:spacing w:before="120" w:after="120"/>
        <w:ind w:left="426" w:hanging="426"/>
        <w:contextualSpacing w:val="0"/>
        <w:jc w:val="both"/>
        <w:rPr>
          <w:b/>
        </w:rPr>
      </w:pPr>
      <w:r>
        <w:rPr>
          <w:b/>
        </w:rPr>
        <w:t xml:space="preserve">Náplň </w:t>
      </w:r>
      <w:r w:rsidRPr="005C50CE">
        <w:rPr>
          <w:b/>
          <w:highlight w:val="yellow"/>
        </w:rPr>
        <w:t>a</w:t>
      </w:r>
      <w:r w:rsidR="004D2EFC" w:rsidRPr="005C50CE">
        <w:rPr>
          <w:b/>
          <w:highlight w:val="yellow"/>
        </w:rPr>
        <w:t xml:space="preserve"> délka</w:t>
      </w:r>
      <w:r>
        <w:rPr>
          <w:b/>
        </w:rPr>
        <w:t xml:space="preserve"> trvání závazků veřejné služby</w:t>
      </w:r>
    </w:p>
    <w:p w14:paraId="6B7AB309" w14:textId="77777777" w:rsidR="00475554" w:rsidRDefault="00157B87">
      <w:pPr>
        <w:spacing w:before="120" w:after="120"/>
        <w:ind w:left="425" w:firstLine="1"/>
        <w:jc w:val="both"/>
      </w:pPr>
      <w:r>
        <w:t>Náplň závazků veřejné služby bude vymezena zejména druhem sociální služby, formou poskytování a kapacitou sociální služby.</w:t>
      </w:r>
    </w:p>
    <w:p w14:paraId="5D3361D2" w14:textId="77777777" w:rsidR="00475554" w:rsidRDefault="00157B87">
      <w:pPr>
        <w:pStyle w:val="Odstavecseseznamem"/>
        <w:numPr>
          <w:ilvl w:val="0"/>
          <w:numId w:val="24"/>
        </w:numPr>
        <w:spacing w:before="120" w:after="120"/>
        <w:ind w:left="426" w:hanging="426"/>
        <w:contextualSpacing w:val="0"/>
        <w:jc w:val="both"/>
        <w:rPr>
          <w:b/>
        </w:rPr>
      </w:pPr>
      <w:r>
        <w:rPr>
          <w:b/>
        </w:rPr>
        <w:t>O který podnik, případně o které území, se jedná</w:t>
      </w:r>
    </w:p>
    <w:p w14:paraId="173C9161" w14:textId="3E3626E4" w:rsidR="00475554" w:rsidRDefault="00157B87">
      <w:pPr>
        <w:spacing w:before="120" w:after="120"/>
        <w:ind w:left="426"/>
        <w:jc w:val="both"/>
      </w:pPr>
      <w:r>
        <w:t>Pověřovací akt obsahuje název, sídlo a IČO poskytovatele sociální/ch služby/eb a identifikátor sociální/ch služby/eb.</w:t>
      </w:r>
      <w:r w:rsidR="004D2EFC">
        <w:t xml:space="preserve"> </w:t>
      </w:r>
    </w:p>
    <w:p w14:paraId="09A1F2C9" w14:textId="2BB260B8" w:rsidR="00475554" w:rsidRDefault="00157B87">
      <w:pPr>
        <w:pStyle w:val="Odstavecseseznamem"/>
        <w:numPr>
          <w:ilvl w:val="0"/>
          <w:numId w:val="24"/>
        </w:numPr>
        <w:spacing w:before="120" w:after="120"/>
        <w:ind w:left="426" w:hanging="426"/>
        <w:contextualSpacing w:val="0"/>
        <w:jc w:val="both"/>
        <w:rPr>
          <w:b/>
        </w:rPr>
      </w:pPr>
      <w:r>
        <w:rPr>
          <w:b/>
        </w:rPr>
        <w:t xml:space="preserve">Povaha jakýchkoli výhradních nebo zvláštních práv udělených podniku orgánem poskytujícím </w:t>
      </w:r>
      <w:r w:rsidR="004D2EFC" w:rsidRPr="00EF2F1C">
        <w:rPr>
          <w:b/>
          <w:highlight w:val="yellow"/>
        </w:rPr>
        <w:t>vyrovnávací platbu</w:t>
      </w:r>
    </w:p>
    <w:p w14:paraId="24EBB381" w14:textId="77777777" w:rsidR="00475554" w:rsidRDefault="00157B87">
      <w:pPr>
        <w:spacing w:before="120" w:after="120"/>
        <w:ind w:left="426"/>
        <w:jc w:val="both"/>
      </w:pPr>
      <w:r>
        <w:t>Udělení zvláštních práv sociálním službám se nepředpokládá.</w:t>
      </w:r>
    </w:p>
    <w:p w14:paraId="01523555" w14:textId="77777777" w:rsidR="00475554" w:rsidRDefault="00157B87">
      <w:pPr>
        <w:pStyle w:val="Odstavecseseznamem"/>
        <w:numPr>
          <w:ilvl w:val="0"/>
          <w:numId w:val="24"/>
        </w:numPr>
        <w:spacing w:before="120" w:after="120"/>
        <w:ind w:left="426" w:hanging="426"/>
        <w:contextualSpacing w:val="0"/>
        <w:jc w:val="both"/>
        <w:rPr>
          <w:b/>
        </w:rPr>
      </w:pPr>
      <w:r>
        <w:rPr>
          <w:b/>
        </w:rPr>
        <w:t>Popis kompenzačního mechanismu a parametrů pro výpočet, kontrolu a přezkoumání vyrovnávací platby</w:t>
      </w:r>
    </w:p>
    <w:p w14:paraId="49D4ACB5" w14:textId="77777777" w:rsidR="00475554" w:rsidRDefault="00157B87">
      <w:pPr>
        <w:spacing w:before="120" w:after="120"/>
        <w:ind w:left="426"/>
        <w:jc w:val="both"/>
      </w:pPr>
      <w:r>
        <w:t>Parametry pro výpočet částky kompenzace jsou definovány samostatně, pro každý druh sociální služby, v souladu s principy uvedenými v tomto dokumentu.</w:t>
      </w:r>
    </w:p>
    <w:p w14:paraId="7EF289BF" w14:textId="77777777" w:rsidR="00475554" w:rsidRDefault="00157B87">
      <w:pPr>
        <w:pStyle w:val="Odstavecseseznamem"/>
        <w:numPr>
          <w:ilvl w:val="0"/>
          <w:numId w:val="24"/>
        </w:numPr>
        <w:spacing w:before="120" w:after="120"/>
        <w:ind w:left="426" w:hanging="426"/>
        <w:contextualSpacing w:val="0"/>
        <w:jc w:val="both"/>
        <w:rPr>
          <w:b/>
        </w:rPr>
      </w:pPr>
      <w:r>
        <w:rPr>
          <w:b/>
        </w:rPr>
        <w:t>Opatření k zamezení a vrácení jakékoli nadměrné vyrovnávací platby</w:t>
      </w:r>
    </w:p>
    <w:p w14:paraId="399B6291" w14:textId="662A0BDC" w:rsidR="00475554" w:rsidRDefault="00157B87">
      <w:pPr>
        <w:spacing w:before="120" w:after="120"/>
        <w:ind w:left="426"/>
        <w:jc w:val="both"/>
        <w:rPr>
          <w:rFonts w:ascii="Calibri" w:hAnsi="Calibri"/>
        </w:rPr>
      </w:pPr>
      <w:r>
        <w:rPr>
          <w:rFonts w:ascii="Calibri" w:hAnsi="Calibri"/>
        </w:rPr>
        <w:t>Vyrovnávací platba je nastavována a aktualizována samostatně pro každý druh sociální služby na základě analýzy nákladů a výnosů. Systém kontroly poskytovaných plateb je uveden v následující části</w:t>
      </w:r>
      <w:r w:rsidR="004A3BEB">
        <w:rPr>
          <w:rFonts w:ascii="Calibri" w:hAnsi="Calibri"/>
        </w:rPr>
        <w:t xml:space="preserve"> tohoto dokumentu</w:t>
      </w:r>
      <w:r>
        <w:rPr>
          <w:rFonts w:ascii="Calibri" w:hAnsi="Calibri"/>
        </w:rPr>
        <w:t>. Poskytovatel sociálních služeb bude smluvně zavázán k vrácení nadměrné vyrovnávací platby.</w:t>
      </w:r>
    </w:p>
    <w:p w14:paraId="2855D763" w14:textId="2BD5BDE3" w:rsidR="00475554" w:rsidRDefault="00157B87" w:rsidP="00930724">
      <w:pPr>
        <w:pStyle w:val="Odstavecseseznamem"/>
        <w:numPr>
          <w:ilvl w:val="0"/>
          <w:numId w:val="24"/>
        </w:numPr>
        <w:spacing w:before="120" w:after="120"/>
        <w:ind w:left="426" w:hanging="426"/>
        <w:jc w:val="both"/>
      </w:pPr>
      <w:r w:rsidRPr="00930724">
        <w:rPr>
          <w:b/>
          <w:bCs/>
        </w:rPr>
        <w:t xml:space="preserve">Odkaz na Rozhodnutí SGEI </w:t>
      </w:r>
      <w:r w:rsidR="15C04402" w:rsidRPr="00EF2F1C">
        <w:rPr>
          <w:b/>
          <w:bCs/>
          <w:highlight w:val="yellow"/>
        </w:rPr>
        <w:t>2025/2630</w:t>
      </w:r>
    </w:p>
    <w:p w14:paraId="29E15D8C" w14:textId="77777777" w:rsidR="00B17564" w:rsidRDefault="00B17564">
      <w:pPr>
        <w:spacing w:before="120" w:after="120"/>
        <w:jc w:val="both"/>
      </w:pPr>
    </w:p>
    <w:p w14:paraId="0034B514" w14:textId="77777777" w:rsidR="00475554" w:rsidRDefault="00157B87">
      <w:pPr>
        <w:spacing w:before="120" w:after="120"/>
        <w:jc w:val="both"/>
      </w:pPr>
      <w:r>
        <w:br w:type="page"/>
      </w:r>
    </w:p>
    <w:p w14:paraId="01137804" w14:textId="77777777" w:rsidR="00475554" w:rsidRDefault="00157B87">
      <w:pPr>
        <w:pStyle w:val="Nadpis1"/>
        <w:spacing w:before="120" w:after="120"/>
        <w:ind w:left="709" w:hanging="709"/>
        <w:jc w:val="both"/>
        <w:rPr>
          <w:rFonts w:asciiTheme="minorHAnsi" w:hAnsiTheme="minorHAnsi"/>
          <w:sz w:val="32"/>
          <w:szCs w:val="32"/>
        </w:rPr>
      </w:pPr>
      <w:bookmarkStart w:id="176" w:name="_Toc385925735"/>
      <w:bookmarkStart w:id="177" w:name="_Toc385925736"/>
      <w:bookmarkStart w:id="178" w:name="_Toc385925737"/>
      <w:bookmarkStart w:id="179" w:name="_Toc385925738"/>
      <w:bookmarkStart w:id="180" w:name="_Toc385925739"/>
      <w:bookmarkStart w:id="181" w:name="_Toc385925760"/>
      <w:bookmarkStart w:id="182" w:name="_Toc385925761"/>
      <w:bookmarkStart w:id="183" w:name="_Toc385925762"/>
      <w:bookmarkStart w:id="184" w:name="_Toc385925763"/>
      <w:bookmarkStart w:id="185" w:name="_Toc385925764"/>
      <w:bookmarkStart w:id="186" w:name="_Toc385925765"/>
      <w:bookmarkStart w:id="187" w:name="_Toc385925766"/>
      <w:bookmarkStart w:id="188" w:name="_Toc385925767"/>
      <w:bookmarkStart w:id="189" w:name="_Toc385925768"/>
      <w:bookmarkStart w:id="190" w:name="_Toc385925769"/>
      <w:bookmarkStart w:id="191" w:name="_Toc385925770"/>
      <w:bookmarkStart w:id="192" w:name="_Toc385925771"/>
      <w:bookmarkStart w:id="193" w:name="_Toc385925772"/>
      <w:bookmarkStart w:id="194" w:name="_Toc385925773"/>
      <w:bookmarkStart w:id="195" w:name="_Toc385925774"/>
      <w:bookmarkStart w:id="196" w:name="_Toc385925775"/>
      <w:bookmarkStart w:id="197" w:name="_Toc385925776"/>
      <w:bookmarkStart w:id="198" w:name="_Toc385925777"/>
      <w:bookmarkStart w:id="199" w:name="_Toc385925778"/>
      <w:bookmarkStart w:id="200" w:name="_Toc385925779"/>
      <w:bookmarkStart w:id="201" w:name="_Toc385925780"/>
      <w:bookmarkStart w:id="202" w:name="_Toc385925805"/>
      <w:bookmarkStart w:id="203" w:name="_Toc385925806"/>
      <w:bookmarkStart w:id="204" w:name="_Toc385925807"/>
      <w:bookmarkStart w:id="205" w:name="_Toc385925808"/>
      <w:bookmarkStart w:id="206" w:name="_Toc385925809"/>
      <w:bookmarkStart w:id="207" w:name="_Toc385925810"/>
      <w:bookmarkStart w:id="208" w:name="_Toc385925811"/>
      <w:bookmarkStart w:id="209" w:name="_Toc385925812"/>
      <w:bookmarkStart w:id="210" w:name="_Toc385925813"/>
      <w:bookmarkStart w:id="211" w:name="_Toc385925814"/>
      <w:bookmarkStart w:id="212" w:name="_Toc386625248"/>
      <w:bookmarkStart w:id="213" w:name="_Toc386625392"/>
      <w:bookmarkStart w:id="214" w:name="_Toc418525254"/>
      <w:bookmarkStart w:id="215" w:name="_Toc230777934"/>
      <w:bookmarkStart w:id="216" w:name="_Toc386625393"/>
      <w:bookmarkStart w:id="217" w:name="_Toc38592581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Fonts w:asciiTheme="minorHAnsi" w:hAnsiTheme="minorHAnsi"/>
          <w:sz w:val="32"/>
          <w:szCs w:val="32"/>
        </w:rPr>
        <w:lastRenderedPageBreak/>
        <w:t>Způsob poskytování finanční podpory</w:t>
      </w:r>
      <w:bookmarkEnd w:id="214"/>
      <w:bookmarkEnd w:id="215"/>
    </w:p>
    <w:p w14:paraId="62EFEA53" w14:textId="77777777" w:rsidR="00475554" w:rsidRDefault="00475554">
      <w:pPr>
        <w:spacing w:before="120" w:after="120"/>
        <w:jc w:val="both"/>
        <w:rPr>
          <w:rFonts w:ascii="Calibri" w:hAnsi="Calibri"/>
        </w:rPr>
      </w:pPr>
    </w:p>
    <w:p w14:paraId="28FD5532" w14:textId="53BF4F60" w:rsidR="00475554" w:rsidRDefault="00157B87">
      <w:pPr>
        <w:spacing w:before="120" w:after="120"/>
        <w:jc w:val="both"/>
      </w:pPr>
      <w:r>
        <w:rPr>
          <w:rFonts w:cs="Arial"/>
        </w:rPr>
        <w:t xml:space="preserve">Příspěvkovým organizacím zřízeným Zlínským krajem bude finanční podpora na sociální služby poskytována na základě vydaného Rozhodnutí o poskytnutí příspěvku na provoz na poskytování sociálních služeb (dále jen „Rozhodnutí“). </w:t>
      </w:r>
      <w:r>
        <w:t xml:space="preserve">Ostatním poskytovatelům sociálních služeb bude finanční podpora na sociální služby poskytována na základě uzavřené Veřejnoprávní smlouvy o poskytnutí </w:t>
      </w:r>
      <w:r w:rsidR="00C26BEE" w:rsidRPr="00F44B1B">
        <w:rPr>
          <w:highlight w:val="yellow"/>
        </w:rPr>
        <w:t>vyrovnávací platby formou dotace</w:t>
      </w:r>
      <w:r>
        <w:t xml:space="preserve"> (dále jen „Veřejnoprávní smlouva“).</w:t>
      </w:r>
    </w:p>
    <w:p w14:paraId="19BA3290" w14:textId="77777777" w:rsidR="00475554" w:rsidRDefault="00157B87">
      <w:pPr>
        <w:spacing w:before="120" w:after="120"/>
        <w:jc w:val="both"/>
      </w:pPr>
      <w:r>
        <w:t>Specifikaci způsobu poskytování finanční podpory budou upřesňovat příslušné Programy.</w:t>
      </w:r>
    </w:p>
    <w:p w14:paraId="17327829" w14:textId="77777777" w:rsidR="00475554" w:rsidRDefault="00475554">
      <w:pPr>
        <w:spacing w:before="120" w:after="120"/>
        <w:jc w:val="both"/>
        <w:rPr>
          <w:rFonts w:ascii="Calibri" w:hAnsi="Calibri"/>
        </w:rPr>
      </w:pPr>
    </w:p>
    <w:p w14:paraId="06387911" w14:textId="77777777" w:rsidR="00475554" w:rsidRDefault="00157B87">
      <w:pPr>
        <w:pStyle w:val="Odstavecseseznamem"/>
        <w:numPr>
          <w:ilvl w:val="0"/>
          <w:numId w:val="26"/>
        </w:numPr>
        <w:spacing w:before="120" w:after="240"/>
        <w:ind w:left="425" w:hanging="425"/>
        <w:contextualSpacing w:val="0"/>
        <w:jc w:val="both"/>
        <w:rPr>
          <w:rFonts w:ascii="Calibri" w:hAnsi="Calibri"/>
          <w:b/>
        </w:rPr>
      </w:pPr>
      <w:r>
        <w:rPr>
          <w:rFonts w:ascii="Calibri" w:hAnsi="Calibri"/>
          <w:b/>
        </w:rPr>
        <w:t>Z dotace poskytnuté MPSV kraji</w:t>
      </w:r>
    </w:p>
    <w:p w14:paraId="3F892F2F" w14:textId="6B67BF23" w:rsidR="00475554" w:rsidRDefault="00157B87">
      <w:pPr>
        <w:spacing w:before="120" w:after="120"/>
        <w:ind w:left="426"/>
        <w:jc w:val="both"/>
        <w:rPr>
          <w:rFonts w:eastAsiaTheme="minorHAnsi"/>
        </w:rPr>
      </w:pPr>
      <w:bookmarkStart w:id="218" w:name="_Toc376458729"/>
      <w:bookmarkStart w:id="219" w:name="_Toc376458731"/>
      <w:bookmarkEnd w:id="218"/>
      <w:bookmarkEnd w:id="219"/>
      <w:r>
        <w:t xml:space="preserve">Ve smyslu zákona </w:t>
      </w:r>
      <w:r w:rsidR="0036662B">
        <w:t>č. 250/2000 Sb.</w:t>
      </w:r>
      <w:r>
        <w:t xml:space="preserve"> jsou tyto Podmínky zpracovány pro účely poskytnutí finanční podpory všem poskytovatelům sociálních služeb. Finanční podpora je poskytována formou dotace mimo příspěvkové organizace zřízené Zlínským krajem, kde je poskytována formou příspěvku na provoz. </w:t>
      </w:r>
    </w:p>
    <w:p w14:paraId="0CE3E5C9" w14:textId="77777777" w:rsidR="00475554" w:rsidRDefault="00157B87">
      <w:pPr>
        <w:pStyle w:val="Default"/>
        <w:spacing w:before="120" w:after="120" w:line="276" w:lineRule="auto"/>
        <w:ind w:left="426"/>
        <w:jc w:val="both"/>
        <w:rPr>
          <w:rFonts w:asciiTheme="minorHAnsi" w:hAnsiTheme="minorHAnsi" w:cs="Arial"/>
          <w:sz w:val="22"/>
          <w:szCs w:val="22"/>
        </w:rPr>
      </w:pPr>
      <w:r>
        <w:rPr>
          <w:rFonts w:asciiTheme="minorHAnsi" w:hAnsiTheme="minorHAnsi" w:cs="Arial"/>
          <w:b/>
          <w:sz w:val="22"/>
          <w:szCs w:val="22"/>
        </w:rPr>
        <w:t xml:space="preserve">Finanční podpora přidělená na základě žádosti podané </w:t>
      </w:r>
      <w:r w:rsidRPr="00681430">
        <w:rPr>
          <w:rFonts w:asciiTheme="minorHAnsi" w:hAnsiTheme="minorHAnsi" w:cs="Arial"/>
          <w:b/>
          <w:sz w:val="22"/>
          <w:szCs w:val="22"/>
        </w:rPr>
        <w:t>poskytovatelem sociálních služeb v rámci vyhlášené Výzvy</w:t>
      </w:r>
      <w:r w:rsidRPr="003C2F67">
        <w:rPr>
          <w:rFonts w:asciiTheme="minorHAnsi" w:hAnsiTheme="minorHAnsi" w:cs="Arial"/>
          <w:sz w:val="22"/>
          <w:szCs w:val="22"/>
        </w:rPr>
        <w:t xml:space="preserve">, je poskytovateli sociálních služeb na jeho běžný účet (na účet zřizovatele v případě příspěvkové organizace zřizované obcí) vyplácena </w:t>
      </w:r>
      <w:r w:rsidR="001A24F5" w:rsidRPr="00681430">
        <w:rPr>
          <w:rFonts w:asciiTheme="minorHAnsi" w:hAnsiTheme="minorHAnsi" w:cs="Arial"/>
          <w:sz w:val="22"/>
          <w:szCs w:val="22"/>
        </w:rPr>
        <w:t xml:space="preserve">v zálohách dle </w:t>
      </w:r>
      <w:r w:rsidR="00681430" w:rsidRPr="00681430">
        <w:rPr>
          <w:rFonts w:asciiTheme="minorHAnsi" w:hAnsiTheme="minorHAnsi" w:cs="Arial"/>
          <w:sz w:val="22"/>
          <w:szCs w:val="22"/>
        </w:rPr>
        <w:t>rozhodnutí</w:t>
      </w:r>
      <w:r w:rsidR="001A24F5" w:rsidRPr="00681430">
        <w:rPr>
          <w:rFonts w:asciiTheme="minorHAnsi" w:hAnsiTheme="minorHAnsi" w:cs="Arial"/>
          <w:sz w:val="22"/>
          <w:szCs w:val="22"/>
        </w:rPr>
        <w:t xml:space="preserve"> MPSV</w:t>
      </w:r>
      <w:r w:rsidRPr="00681430">
        <w:rPr>
          <w:rFonts w:asciiTheme="minorHAnsi" w:hAnsiTheme="minorHAnsi" w:cs="Arial"/>
          <w:sz w:val="22"/>
          <w:szCs w:val="22"/>
        </w:rPr>
        <w:t>.</w:t>
      </w:r>
    </w:p>
    <w:p w14:paraId="1DF2FCFB" w14:textId="02DE1CA3" w:rsidR="00475554" w:rsidRDefault="00157B87">
      <w:pPr>
        <w:pStyle w:val="Default"/>
        <w:spacing w:before="120" w:after="120" w:line="276" w:lineRule="auto"/>
        <w:ind w:left="426"/>
        <w:jc w:val="both"/>
        <w:rPr>
          <w:rFonts w:asciiTheme="minorHAnsi" w:hAnsiTheme="minorHAnsi"/>
          <w:sz w:val="22"/>
          <w:szCs w:val="22"/>
        </w:rPr>
      </w:pPr>
      <w:r>
        <w:rPr>
          <w:rFonts w:asciiTheme="minorHAnsi" w:hAnsiTheme="minorHAnsi"/>
          <w:sz w:val="22"/>
          <w:szCs w:val="22"/>
        </w:rPr>
        <w:t>První záloha je vyplacena ve výši 60 % poskytnuté finanční podpory po schválení v orgánech kraje, nejpozději do </w:t>
      </w:r>
      <w:r w:rsidRPr="00BD5D37">
        <w:rPr>
          <w:rFonts w:asciiTheme="minorHAnsi" w:hAnsiTheme="minorHAnsi"/>
          <w:sz w:val="22"/>
          <w:szCs w:val="22"/>
        </w:rPr>
        <w:t>10</w:t>
      </w:r>
      <w:r>
        <w:rPr>
          <w:rFonts w:asciiTheme="minorHAnsi" w:hAnsiTheme="minorHAnsi"/>
          <w:sz w:val="22"/>
          <w:szCs w:val="22"/>
        </w:rPr>
        <w:t xml:space="preserve"> pracovních dnů po nabytí účinnosti Veřejnoprávní smlouvy, příp.  Rozhodnutí, nedříve však poté, co Zlínský kraj obdrží na účet první splátku poskytnutou kraji ze státního rozpočtu.</w:t>
      </w:r>
    </w:p>
    <w:p w14:paraId="0DDFDC10" w14:textId="566CB6EF" w:rsidR="00475554" w:rsidRDefault="00157B87">
      <w:pPr>
        <w:pStyle w:val="Default"/>
        <w:spacing w:before="120" w:after="120" w:line="276" w:lineRule="auto"/>
        <w:ind w:left="426"/>
        <w:jc w:val="both"/>
        <w:rPr>
          <w:rFonts w:asciiTheme="minorHAnsi" w:hAnsiTheme="minorHAnsi"/>
          <w:sz w:val="22"/>
          <w:szCs w:val="22"/>
        </w:rPr>
      </w:pPr>
      <w:r>
        <w:rPr>
          <w:rFonts w:asciiTheme="minorHAnsi" w:hAnsiTheme="minorHAnsi"/>
          <w:sz w:val="22"/>
          <w:szCs w:val="22"/>
        </w:rPr>
        <w:t xml:space="preserve">Druhá záloha je vyplacena ve výši 40 % poskytnuté finanční podpory, a to nejpozději </w:t>
      </w:r>
      <w:r w:rsidRPr="003C31AF">
        <w:rPr>
          <w:rFonts w:asciiTheme="minorHAnsi" w:hAnsiTheme="minorHAnsi"/>
          <w:sz w:val="22"/>
          <w:szCs w:val="22"/>
        </w:rPr>
        <w:t>do 10 pracovních dnů</w:t>
      </w:r>
      <w:r>
        <w:rPr>
          <w:rFonts w:asciiTheme="minorHAnsi" w:hAnsiTheme="minorHAnsi"/>
          <w:sz w:val="22"/>
          <w:szCs w:val="22"/>
        </w:rPr>
        <w:t xml:space="preserve"> od obdržení druhé splátky poskytnuté kraji ze státního rozpočtu.</w:t>
      </w:r>
      <w:r w:rsidR="00CE5EB0">
        <w:rPr>
          <w:rFonts w:asciiTheme="minorHAnsi" w:hAnsiTheme="minorHAnsi"/>
          <w:sz w:val="22"/>
          <w:szCs w:val="22"/>
        </w:rPr>
        <w:t xml:space="preserve"> </w:t>
      </w:r>
    </w:p>
    <w:p w14:paraId="600A1219" w14:textId="1DFD4546" w:rsidR="00475554" w:rsidRDefault="00157B87">
      <w:pPr>
        <w:pStyle w:val="Default"/>
        <w:spacing w:before="120" w:after="120" w:line="276" w:lineRule="auto"/>
        <w:ind w:left="426"/>
        <w:jc w:val="both"/>
        <w:rPr>
          <w:rFonts w:asciiTheme="minorHAnsi" w:hAnsiTheme="minorHAnsi" w:cs="Arial"/>
          <w:sz w:val="22"/>
          <w:szCs w:val="22"/>
        </w:rPr>
      </w:pPr>
      <w:r>
        <w:rPr>
          <w:rFonts w:asciiTheme="minorHAnsi" w:hAnsiTheme="minorHAnsi" w:cs="Arial"/>
          <w:b/>
          <w:sz w:val="22"/>
          <w:szCs w:val="22"/>
        </w:rPr>
        <w:t xml:space="preserve">Finanční podpora přidělená na základě žádosti podané poskytovatelem sociálních služeb v rámci další vyhlášené Výzvy nebo v rámci mimořádného termínu financování </w:t>
      </w:r>
      <w:r>
        <w:rPr>
          <w:rFonts w:asciiTheme="minorHAnsi" w:hAnsiTheme="minorHAnsi" w:cs="Arial"/>
          <w:sz w:val="22"/>
          <w:szCs w:val="22"/>
        </w:rPr>
        <w:t>(např. rozdělení nevyčerpané finanční podpory nebo dofinancování ze strany MPSV), je poskytovateli sociálních služeb na jeho běžný účet vyplacena jednorázově po schválení v orgánech kraje, nejpozději do 10 pracovních dnů po nabytí účinnosti Veřejnoprávní smlouvy, event. Dodatku, příp. Rozhodnutí, event. Dodatku, nejdříve však poté, co Zlínský kraj obdrží na účet dotaci poskytnutou kraji ze státního rozpočtu.</w:t>
      </w:r>
    </w:p>
    <w:p w14:paraId="7D654370" w14:textId="061C89A5" w:rsidR="00475554" w:rsidRDefault="00157B87">
      <w:pPr>
        <w:pStyle w:val="Default"/>
        <w:spacing w:before="120" w:after="120" w:line="276" w:lineRule="auto"/>
        <w:ind w:left="426"/>
        <w:jc w:val="both"/>
        <w:rPr>
          <w:rFonts w:asciiTheme="minorHAnsi" w:hAnsiTheme="minorHAnsi"/>
          <w:spacing w:val="-2"/>
          <w:sz w:val="22"/>
          <w:szCs w:val="22"/>
        </w:rPr>
      </w:pPr>
      <w:r>
        <w:rPr>
          <w:rFonts w:asciiTheme="minorHAnsi" w:hAnsiTheme="minorHAnsi"/>
          <w:sz w:val="22"/>
          <w:szCs w:val="22"/>
        </w:rPr>
        <w:t xml:space="preserve">Kraj si vyhrazuje právo změnit výši a lhůty výplaty jednotlivých záloh finanční podpory, a to pouze v případě, že došlo ke změně výše a lhůt výplaty splátky dotace, kterou vyplácí MPSV </w:t>
      </w:r>
      <w:r>
        <w:rPr>
          <w:rFonts w:asciiTheme="minorHAnsi" w:hAnsiTheme="minorHAnsi"/>
          <w:spacing w:val="-2"/>
          <w:sz w:val="22"/>
          <w:szCs w:val="22"/>
        </w:rPr>
        <w:t xml:space="preserve">kraji v souladu s § 101a zákona </w:t>
      </w:r>
      <w:r w:rsidR="0036662B" w:rsidRPr="00F7678F">
        <w:rPr>
          <w:rFonts w:asciiTheme="minorHAnsi" w:hAnsiTheme="minorHAnsi"/>
          <w:spacing w:val="-2"/>
          <w:sz w:val="22"/>
          <w:szCs w:val="22"/>
        </w:rPr>
        <w:t>č. 108/2006 Sb</w:t>
      </w:r>
      <w:r w:rsidR="0036662B">
        <w:t xml:space="preserve">. </w:t>
      </w:r>
      <w:r>
        <w:rPr>
          <w:rFonts w:asciiTheme="minorHAnsi" w:hAnsiTheme="minorHAnsi"/>
          <w:spacing w:val="-2"/>
          <w:sz w:val="22"/>
          <w:szCs w:val="22"/>
        </w:rPr>
        <w:t>a Rozhodnutím MPSV o poskytnutí dotace kraji.</w:t>
      </w:r>
    </w:p>
    <w:p w14:paraId="30D91148" w14:textId="77777777" w:rsidR="004E1D7F" w:rsidRDefault="00157B87">
      <w:pPr>
        <w:pStyle w:val="Default"/>
        <w:spacing w:before="120" w:after="120" w:line="276" w:lineRule="auto"/>
        <w:ind w:left="426"/>
        <w:jc w:val="both"/>
        <w:rPr>
          <w:rFonts w:asciiTheme="minorHAnsi" w:hAnsiTheme="minorHAnsi"/>
          <w:sz w:val="22"/>
          <w:szCs w:val="22"/>
        </w:rPr>
      </w:pPr>
      <w:r>
        <w:rPr>
          <w:rFonts w:asciiTheme="minorHAnsi" w:hAnsiTheme="minorHAnsi"/>
          <w:sz w:val="22"/>
          <w:szCs w:val="22"/>
        </w:rPr>
        <w:t>Níže uvedené bude řešeno příslušným Programem.</w:t>
      </w:r>
    </w:p>
    <w:p w14:paraId="1278B8B9" w14:textId="4051E1F6" w:rsidR="00475554" w:rsidRPr="004E1D7F" w:rsidRDefault="00157B87">
      <w:pPr>
        <w:pStyle w:val="Default"/>
        <w:spacing w:before="120" w:after="120" w:line="276" w:lineRule="auto"/>
        <w:ind w:left="426"/>
        <w:jc w:val="both"/>
        <w:rPr>
          <w:rFonts w:asciiTheme="minorHAnsi" w:hAnsiTheme="minorHAnsi"/>
          <w:sz w:val="22"/>
          <w:szCs w:val="22"/>
        </w:rPr>
      </w:pPr>
      <w:r w:rsidRPr="004E1D7F">
        <w:rPr>
          <w:rFonts w:asciiTheme="minorHAnsi" w:hAnsiTheme="minorHAnsi"/>
          <w:sz w:val="22"/>
          <w:szCs w:val="22"/>
        </w:rPr>
        <w:t xml:space="preserve">Finanční podpora vzniklá úsporami v Základní </w:t>
      </w:r>
      <w:r w:rsidR="008C616A">
        <w:rPr>
          <w:rFonts w:asciiTheme="minorHAnsi" w:hAnsiTheme="minorHAnsi"/>
          <w:sz w:val="22"/>
          <w:szCs w:val="22"/>
        </w:rPr>
        <w:t xml:space="preserve">nebo Dočasné </w:t>
      </w:r>
      <w:r w:rsidRPr="004E1D7F">
        <w:rPr>
          <w:rFonts w:asciiTheme="minorHAnsi" w:hAnsiTheme="minorHAnsi"/>
          <w:sz w:val="22"/>
          <w:szCs w:val="22"/>
        </w:rPr>
        <w:t xml:space="preserve">síti bude rozdělena poskytovatelům sociálních služeb v daném roce, a to v návaznosti </w:t>
      </w:r>
      <w:r w:rsidR="004C010D">
        <w:rPr>
          <w:rFonts w:asciiTheme="minorHAnsi" w:hAnsiTheme="minorHAnsi"/>
          <w:sz w:val="22"/>
          <w:szCs w:val="22"/>
        </w:rPr>
        <w:t xml:space="preserve">na </w:t>
      </w:r>
      <w:r w:rsidRPr="004E1D7F">
        <w:rPr>
          <w:rFonts w:asciiTheme="minorHAnsi" w:hAnsiTheme="minorHAnsi"/>
          <w:sz w:val="22"/>
          <w:szCs w:val="22"/>
        </w:rPr>
        <w:t>oprávněné požadavky poskytovatelů sociálních služeb. Tyto kroky musí být v souladu se směřováním k naplňování vize a na postupy popsané ve Střednědobém plánu 202</w:t>
      </w:r>
      <w:r w:rsidR="00BB456B">
        <w:rPr>
          <w:rFonts w:asciiTheme="minorHAnsi" w:hAnsiTheme="minorHAnsi"/>
          <w:sz w:val="22"/>
          <w:szCs w:val="22"/>
        </w:rPr>
        <w:t>6</w:t>
      </w:r>
      <w:r w:rsidRPr="004E1D7F">
        <w:rPr>
          <w:rFonts w:asciiTheme="minorHAnsi" w:hAnsiTheme="minorHAnsi"/>
          <w:sz w:val="22"/>
          <w:szCs w:val="22"/>
        </w:rPr>
        <w:t>–202</w:t>
      </w:r>
      <w:r w:rsidR="00BB456B">
        <w:rPr>
          <w:rFonts w:asciiTheme="minorHAnsi" w:hAnsiTheme="minorHAnsi"/>
          <w:sz w:val="22"/>
          <w:szCs w:val="22"/>
        </w:rPr>
        <w:t>8</w:t>
      </w:r>
      <w:r w:rsidRPr="004E1D7F">
        <w:rPr>
          <w:rFonts w:asciiTheme="minorHAnsi" w:hAnsiTheme="minorHAnsi"/>
          <w:sz w:val="22"/>
          <w:szCs w:val="22"/>
        </w:rPr>
        <w:t>, a to i když nebudou pokryty náklady na Základní síť.</w:t>
      </w:r>
    </w:p>
    <w:p w14:paraId="3C534236" w14:textId="77777777" w:rsidR="00475554" w:rsidRDefault="00157B87">
      <w:pPr>
        <w:pStyle w:val="Default"/>
        <w:spacing w:before="120" w:after="120" w:line="276" w:lineRule="auto"/>
        <w:ind w:left="426"/>
        <w:jc w:val="both"/>
        <w:rPr>
          <w:rFonts w:asciiTheme="minorHAnsi" w:hAnsiTheme="minorHAnsi"/>
          <w:sz w:val="22"/>
          <w:szCs w:val="22"/>
        </w:rPr>
      </w:pPr>
      <w:r w:rsidRPr="007A15DE">
        <w:rPr>
          <w:rFonts w:asciiTheme="minorHAnsi" w:hAnsiTheme="minorHAnsi"/>
          <w:sz w:val="22"/>
          <w:szCs w:val="22"/>
        </w:rPr>
        <w:t>Konečná výše obvyklého nákladu může být korigována např. dle metodického doporučení MPSV či mezikrajského srovnání obvyklých nákladů, s přihlédnutím na oprávněné požadavky poskytovatelů sociálních služeb.</w:t>
      </w:r>
    </w:p>
    <w:p w14:paraId="611FE383" w14:textId="77777777" w:rsidR="004F3402" w:rsidRPr="007A15DE" w:rsidRDefault="004F3402">
      <w:pPr>
        <w:pStyle w:val="Default"/>
        <w:spacing w:before="120" w:after="120" w:line="276" w:lineRule="auto"/>
        <w:ind w:left="426"/>
        <w:jc w:val="both"/>
        <w:rPr>
          <w:rFonts w:asciiTheme="minorHAnsi" w:hAnsiTheme="minorHAnsi"/>
          <w:sz w:val="22"/>
          <w:szCs w:val="22"/>
        </w:rPr>
      </w:pPr>
      <w:r>
        <w:rPr>
          <w:rFonts w:asciiTheme="minorHAnsi" w:hAnsiTheme="minorHAnsi"/>
          <w:sz w:val="22"/>
          <w:szCs w:val="22"/>
        </w:rPr>
        <w:lastRenderedPageBreak/>
        <w:t xml:space="preserve">Při nenaplnění </w:t>
      </w:r>
      <w:r w:rsidR="00A2024E">
        <w:rPr>
          <w:rFonts w:asciiTheme="minorHAnsi" w:hAnsiTheme="minorHAnsi"/>
          <w:sz w:val="22"/>
          <w:szCs w:val="22"/>
        </w:rPr>
        <w:t xml:space="preserve">předpokládaného modelovaného </w:t>
      </w:r>
      <w:r>
        <w:rPr>
          <w:rFonts w:asciiTheme="minorHAnsi" w:hAnsiTheme="minorHAnsi"/>
          <w:sz w:val="22"/>
          <w:szCs w:val="22"/>
        </w:rPr>
        <w:t>podílu ÚSC (kraj/obec) pro finanční zajištění sociálních služeb s celokrajským významem ve vazbě na dostupnost sociálních služeb na území ZK m</w:t>
      </w:r>
      <w:r w:rsidR="00A2024E">
        <w:rPr>
          <w:rFonts w:asciiTheme="minorHAnsi" w:hAnsiTheme="minorHAnsi"/>
          <w:sz w:val="22"/>
          <w:szCs w:val="22"/>
        </w:rPr>
        <w:t>ů</w:t>
      </w:r>
      <w:r>
        <w:rPr>
          <w:rFonts w:asciiTheme="minorHAnsi" w:hAnsiTheme="minorHAnsi"/>
          <w:sz w:val="22"/>
          <w:szCs w:val="22"/>
        </w:rPr>
        <w:t>že kraj přistoupit ke změně modelace podílu ÚSC.</w:t>
      </w:r>
    </w:p>
    <w:p w14:paraId="1F6806E3" w14:textId="77777777" w:rsidR="00475554" w:rsidRPr="00F36253" w:rsidRDefault="00157B87">
      <w:pPr>
        <w:pStyle w:val="Default"/>
        <w:spacing w:before="120" w:after="120" w:line="276" w:lineRule="auto"/>
        <w:ind w:left="426"/>
        <w:jc w:val="both"/>
        <w:rPr>
          <w:rFonts w:asciiTheme="minorHAnsi" w:hAnsiTheme="minorHAnsi" w:cstheme="minorHAnsi"/>
          <w:sz w:val="22"/>
          <w:szCs w:val="22"/>
        </w:rPr>
      </w:pPr>
      <w:r w:rsidRPr="004E1D7F">
        <w:rPr>
          <w:rFonts w:asciiTheme="minorHAnsi" w:hAnsiTheme="minorHAnsi"/>
          <w:sz w:val="22"/>
          <w:szCs w:val="22"/>
        </w:rPr>
        <w:t xml:space="preserve">Pokud nastane v průběhu daného roku změna ve stávající sociální službě zařazené v Základní síti nebo Dočasné síti, a to na základě změny potřeb uživatelů, a tato změna bude akceptována na základě jednání </w:t>
      </w:r>
      <w:r w:rsidR="00224874">
        <w:rPr>
          <w:rFonts w:asciiTheme="minorHAnsi" w:hAnsiTheme="minorHAnsi"/>
          <w:sz w:val="22"/>
          <w:szCs w:val="22"/>
        </w:rPr>
        <w:t xml:space="preserve">s </w:t>
      </w:r>
      <w:r w:rsidRPr="004E1D7F">
        <w:rPr>
          <w:rFonts w:asciiTheme="minorHAnsi" w:hAnsiTheme="minorHAnsi" w:cstheme="minorHAnsi"/>
          <w:sz w:val="22"/>
          <w:szCs w:val="22"/>
        </w:rPr>
        <w:t>obc</w:t>
      </w:r>
      <w:r w:rsidR="00224874">
        <w:rPr>
          <w:rFonts w:asciiTheme="minorHAnsi" w:hAnsiTheme="minorHAnsi" w:cstheme="minorHAnsi"/>
          <w:sz w:val="22"/>
          <w:szCs w:val="22"/>
        </w:rPr>
        <w:t>í</w:t>
      </w:r>
      <w:r w:rsidRPr="004E1D7F">
        <w:rPr>
          <w:rFonts w:asciiTheme="minorHAnsi" w:hAnsiTheme="minorHAnsi" w:cstheme="minorHAnsi"/>
          <w:sz w:val="22"/>
          <w:szCs w:val="22"/>
        </w:rPr>
        <w:t>/obc</w:t>
      </w:r>
      <w:r w:rsidR="00224874">
        <w:rPr>
          <w:rFonts w:asciiTheme="minorHAnsi" w:hAnsiTheme="minorHAnsi" w:cstheme="minorHAnsi"/>
          <w:sz w:val="22"/>
          <w:szCs w:val="22"/>
        </w:rPr>
        <w:t>emi</w:t>
      </w:r>
      <w:r w:rsidRPr="004E1D7F">
        <w:rPr>
          <w:rFonts w:asciiTheme="minorHAnsi" w:hAnsiTheme="minorHAnsi" w:cstheme="minorHAnsi"/>
          <w:sz w:val="22"/>
          <w:szCs w:val="22"/>
        </w:rPr>
        <w:t xml:space="preserve">, a není možné tuto změnu promítnout do Žádosti Zlínského kraje o poskytnutí dotace ze státního rozpočtu, pak </w:t>
      </w:r>
      <w:r w:rsidR="00FF783B">
        <w:rPr>
          <w:rFonts w:asciiTheme="minorHAnsi" w:hAnsiTheme="minorHAnsi" w:cstheme="minorHAnsi"/>
          <w:sz w:val="22"/>
          <w:szCs w:val="22"/>
        </w:rPr>
        <w:t>bude</w:t>
      </w:r>
      <w:r w:rsidRPr="004E1D7F">
        <w:rPr>
          <w:rFonts w:asciiTheme="minorHAnsi" w:hAnsiTheme="minorHAnsi" w:cstheme="minorHAnsi"/>
          <w:sz w:val="22"/>
          <w:szCs w:val="22"/>
        </w:rPr>
        <w:t xml:space="preserve"> uplatněn tzv. „finanční princip“</w:t>
      </w:r>
      <w:r w:rsidR="004E1D7F" w:rsidRPr="004E1D7F">
        <w:rPr>
          <w:rFonts w:asciiTheme="minorHAnsi" w:hAnsiTheme="minorHAnsi" w:cstheme="minorHAnsi"/>
          <w:sz w:val="22"/>
          <w:szCs w:val="22"/>
        </w:rPr>
        <w:t>.</w:t>
      </w:r>
      <w:r w:rsidR="008C616A">
        <w:rPr>
          <w:rFonts w:asciiTheme="minorHAnsi" w:hAnsiTheme="minorHAnsi" w:cstheme="minorHAnsi"/>
          <w:sz w:val="22"/>
          <w:szCs w:val="22"/>
        </w:rPr>
        <w:t xml:space="preserve"> </w:t>
      </w:r>
      <w:r w:rsidR="004E1D7F" w:rsidRPr="004E1D7F">
        <w:rPr>
          <w:rFonts w:asciiTheme="minorHAnsi" w:hAnsiTheme="minorHAnsi" w:cstheme="minorHAnsi"/>
          <w:sz w:val="22"/>
          <w:szCs w:val="22"/>
        </w:rPr>
        <w:t xml:space="preserve">To znamená, že pro daný rok bude změna provedena, ale s nulovým finančním dopadem vůči Základní a Dočasné síti. </w:t>
      </w:r>
      <w:r w:rsidR="00FF783B">
        <w:rPr>
          <w:rFonts w:asciiTheme="minorHAnsi" w:hAnsiTheme="minorHAnsi" w:cstheme="minorHAnsi"/>
          <w:sz w:val="22"/>
          <w:szCs w:val="22"/>
        </w:rPr>
        <w:t>P</w:t>
      </w:r>
      <w:r w:rsidR="004E1D7F" w:rsidRPr="004E1D7F">
        <w:rPr>
          <w:rFonts w:asciiTheme="minorHAnsi" w:hAnsiTheme="minorHAnsi" w:cstheme="minorHAnsi"/>
          <w:sz w:val="22"/>
          <w:szCs w:val="22"/>
        </w:rPr>
        <w:t xml:space="preserve">okud by se jednalo o vyšší náklad vyvolaný změnou, pak je to náklad k tíži </w:t>
      </w:r>
      <w:r w:rsidR="004E1D7F" w:rsidRPr="00F36253">
        <w:rPr>
          <w:rFonts w:asciiTheme="minorHAnsi" w:hAnsiTheme="minorHAnsi" w:cstheme="minorHAnsi"/>
          <w:sz w:val="22"/>
          <w:szCs w:val="22"/>
        </w:rPr>
        <w:t>poskytovatele. Pokud by se jednalo o úsporu, tato bude vrácena Zlínskému kraji.</w:t>
      </w:r>
    </w:p>
    <w:p w14:paraId="74DCF453" w14:textId="4DF066D3" w:rsidR="00475554" w:rsidRDefault="00157B87" w:rsidP="0B0510C0">
      <w:pPr>
        <w:pStyle w:val="Default"/>
        <w:spacing w:before="120" w:after="120" w:line="276" w:lineRule="auto"/>
        <w:ind w:left="426"/>
        <w:jc w:val="both"/>
        <w:rPr>
          <w:rFonts w:asciiTheme="minorHAnsi" w:hAnsiTheme="minorHAnsi" w:cstheme="minorBidi"/>
          <w:sz w:val="22"/>
          <w:szCs w:val="22"/>
        </w:rPr>
      </w:pPr>
      <w:r w:rsidRPr="0B0510C0">
        <w:rPr>
          <w:rFonts w:asciiTheme="minorHAnsi" w:hAnsiTheme="minorHAnsi" w:cstheme="minorBidi"/>
          <w:sz w:val="22"/>
          <w:szCs w:val="22"/>
        </w:rPr>
        <w:t xml:space="preserve">Postup pro využití Zásobníku rozvojových záměrů pro rok </w:t>
      </w:r>
      <w:r w:rsidR="008C616A" w:rsidRPr="0B0510C0">
        <w:rPr>
          <w:rFonts w:asciiTheme="minorHAnsi" w:hAnsiTheme="minorHAnsi" w:cstheme="minorBidi"/>
          <w:sz w:val="22"/>
          <w:szCs w:val="22"/>
        </w:rPr>
        <w:t>202</w:t>
      </w:r>
      <w:r w:rsidR="73A96D1E" w:rsidRPr="0B0510C0">
        <w:rPr>
          <w:rFonts w:asciiTheme="minorHAnsi" w:hAnsiTheme="minorHAnsi" w:cstheme="minorBidi"/>
          <w:sz w:val="22"/>
          <w:szCs w:val="22"/>
        </w:rPr>
        <w:t>7</w:t>
      </w:r>
      <w:r w:rsidR="008C616A" w:rsidRPr="0B0510C0">
        <w:rPr>
          <w:rFonts w:asciiTheme="minorHAnsi" w:hAnsiTheme="minorHAnsi" w:cstheme="minorBidi"/>
          <w:sz w:val="22"/>
          <w:szCs w:val="22"/>
        </w:rPr>
        <w:t xml:space="preserve"> </w:t>
      </w:r>
      <w:r w:rsidRPr="0B0510C0">
        <w:rPr>
          <w:rFonts w:asciiTheme="minorHAnsi" w:hAnsiTheme="minorHAnsi" w:cstheme="minorBidi"/>
          <w:sz w:val="22"/>
          <w:szCs w:val="22"/>
        </w:rPr>
        <w:t>v případě volných finančních prostředků (další dotace ze státního rozpočtu, kapitoly MPSV, úspora z důvodu podpořených projektů kraje atd.) je popsán ve Střednědobém plánu 202</w:t>
      </w:r>
      <w:r w:rsidR="00BB456B" w:rsidRPr="0B0510C0">
        <w:rPr>
          <w:rFonts w:asciiTheme="minorHAnsi" w:hAnsiTheme="minorHAnsi" w:cstheme="minorBidi"/>
          <w:sz w:val="22"/>
          <w:szCs w:val="22"/>
        </w:rPr>
        <w:t>6</w:t>
      </w:r>
      <w:r w:rsidRPr="0B0510C0">
        <w:rPr>
          <w:rFonts w:asciiTheme="minorHAnsi" w:hAnsiTheme="minorHAnsi" w:cstheme="minorBidi"/>
          <w:sz w:val="22"/>
          <w:szCs w:val="22"/>
        </w:rPr>
        <w:t>–202</w:t>
      </w:r>
      <w:r w:rsidR="00BB456B" w:rsidRPr="0B0510C0">
        <w:rPr>
          <w:rFonts w:asciiTheme="minorHAnsi" w:hAnsiTheme="minorHAnsi" w:cstheme="minorBidi"/>
          <w:sz w:val="22"/>
          <w:szCs w:val="22"/>
        </w:rPr>
        <w:t>8</w:t>
      </w:r>
      <w:r w:rsidRPr="0B0510C0">
        <w:rPr>
          <w:rFonts w:asciiTheme="minorHAnsi" w:hAnsiTheme="minorHAnsi" w:cstheme="minorBidi"/>
          <w:sz w:val="22"/>
          <w:szCs w:val="22"/>
        </w:rPr>
        <w:t xml:space="preserve"> v části </w:t>
      </w:r>
      <w:r w:rsidR="009F21A7" w:rsidRPr="0B0510C0">
        <w:rPr>
          <w:rFonts w:asciiTheme="minorHAnsi" w:hAnsiTheme="minorHAnsi" w:cstheme="minorBidi"/>
          <w:sz w:val="22"/>
          <w:szCs w:val="22"/>
        </w:rPr>
        <w:t>5</w:t>
      </w:r>
      <w:r w:rsidRPr="0B0510C0">
        <w:rPr>
          <w:rFonts w:asciiTheme="minorHAnsi" w:hAnsiTheme="minorHAnsi" w:cstheme="minorBidi"/>
          <w:sz w:val="22"/>
          <w:szCs w:val="22"/>
        </w:rPr>
        <w:t>.2</w:t>
      </w:r>
      <w:r w:rsidR="001A1658">
        <w:rPr>
          <w:rFonts w:asciiTheme="minorHAnsi" w:hAnsiTheme="minorHAnsi" w:cstheme="minorBidi"/>
          <w:sz w:val="22"/>
          <w:szCs w:val="22"/>
        </w:rPr>
        <w:t>.3</w:t>
      </w:r>
      <w:r w:rsidRPr="0B0510C0">
        <w:rPr>
          <w:rFonts w:asciiTheme="minorHAnsi" w:hAnsiTheme="minorHAnsi" w:cstheme="minorBidi"/>
          <w:sz w:val="22"/>
          <w:szCs w:val="22"/>
        </w:rPr>
        <w:t xml:space="preserve"> </w:t>
      </w:r>
      <w:r w:rsidR="001A1658" w:rsidRPr="00A252CD">
        <w:rPr>
          <w:rFonts w:asciiTheme="minorHAnsi" w:hAnsiTheme="minorHAnsi" w:cstheme="minorBidi"/>
          <w:sz w:val="22"/>
          <w:szCs w:val="22"/>
          <w:highlight w:val="yellow"/>
        </w:rPr>
        <w:t>Zásobník rozvojových záměrů</w:t>
      </w:r>
      <w:r w:rsidR="00F36253" w:rsidRPr="0B0510C0">
        <w:rPr>
          <w:rFonts w:asciiTheme="minorHAnsi" w:hAnsiTheme="minorHAnsi" w:cstheme="minorBidi"/>
          <w:sz w:val="22"/>
          <w:szCs w:val="22"/>
        </w:rPr>
        <w:t>.</w:t>
      </w:r>
    </w:p>
    <w:p w14:paraId="5B960764" w14:textId="77777777" w:rsidR="00475554" w:rsidRDefault="00475554">
      <w:pPr>
        <w:pStyle w:val="Default"/>
        <w:spacing w:before="120" w:after="120" w:line="276" w:lineRule="auto"/>
        <w:jc w:val="both"/>
        <w:rPr>
          <w:rFonts w:asciiTheme="minorHAnsi" w:hAnsiTheme="minorHAnsi" w:cstheme="minorHAnsi"/>
          <w:sz w:val="22"/>
          <w:szCs w:val="22"/>
        </w:rPr>
      </w:pPr>
    </w:p>
    <w:p w14:paraId="25A66F41" w14:textId="77777777" w:rsidR="00475554" w:rsidRDefault="00157B87">
      <w:pPr>
        <w:pStyle w:val="Odstavecseseznamem"/>
        <w:numPr>
          <w:ilvl w:val="0"/>
          <w:numId w:val="26"/>
        </w:numPr>
        <w:spacing w:before="120" w:after="240"/>
        <w:ind w:left="425" w:hanging="425"/>
        <w:contextualSpacing w:val="0"/>
        <w:jc w:val="both"/>
        <w:rPr>
          <w:rFonts w:ascii="Calibri" w:hAnsi="Calibri"/>
          <w:b/>
        </w:rPr>
      </w:pPr>
      <w:r>
        <w:rPr>
          <w:rFonts w:ascii="Calibri" w:hAnsi="Calibri"/>
          <w:b/>
        </w:rPr>
        <w:t>Z vlastních zdrojů Zlínského kraje</w:t>
      </w:r>
    </w:p>
    <w:p w14:paraId="7D06E7FA" w14:textId="14979CAC" w:rsidR="003526E7" w:rsidRDefault="00157B87" w:rsidP="003526E7">
      <w:pPr>
        <w:pStyle w:val="Odstavecseseznamem"/>
        <w:spacing w:before="120" w:after="120"/>
        <w:ind w:left="426"/>
        <w:jc w:val="both"/>
        <w:rPr>
          <w:rFonts w:cstheme="minorHAnsi"/>
        </w:rPr>
      </w:pPr>
      <w:r>
        <w:t xml:space="preserve">Ve smyslu zákona </w:t>
      </w:r>
      <w:r w:rsidR="0036662B">
        <w:t>č. 250/2000 Sb.</w:t>
      </w:r>
      <w:r>
        <w:t xml:space="preserve"> jsou tyto Podmínky zpracovány pro účely poskytnutí finanční podpory všem poskytovatelům sociálních služeb, vyjma sociálních služeb financovaných z MPSV (dotační program B). </w:t>
      </w:r>
    </w:p>
    <w:p w14:paraId="0CFE5A15" w14:textId="397B5FC6" w:rsidR="00475554" w:rsidRDefault="00157B87">
      <w:pPr>
        <w:spacing w:before="120" w:after="120"/>
        <w:ind w:left="426"/>
        <w:jc w:val="both"/>
        <w:rPr>
          <w:rFonts w:eastAsiaTheme="minorHAnsi"/>
        </w:rPr>
      </w:pPr>
      <w:r>
        <w:t xml:space="preserve">Finanční podpora je poskytována formou dotace mimo příspěvkové organizace zřízené Zlínským krajem, kde je poskytována formou příspěvku na provoz. </w:t>
      </w:r>
    </w:p>
    <w:p w14:paraId="14D29FA3" w14:textId="77777777" w:rsidR="00475554" w:rsidRDefault="00157B87">
      <w:pPr>
        <w:spacing w:before="120" w:after="120"/>
        <w:ind w:left="425"/>
        <w:jc w:val="both"/>
      </w:pPr>
      <w:r>
        <w:t>Zálohy jsou vypláceny ve lhůtách stanovených příslušnou Veřejnoprávní smlouvou, příp. Rozhodnutím.</w:t>
      </w:r>
    </w:p>
    <w:p w14:paraId="6F42F90B" w14:textId="77777777" w:rsidR="004F3402" w:rsidRPr="007A15DE" w:rsidRDefault="004F3402" w:rsidP="004F3402">
      <w:pPr>
        <w:pStyle w:val="Default"/>
        <w:spacing w:before="120" w:after="120" w:line="276" w:lineRule="auto"/>
        <w:ind w:left="426"/>
        <w:jc w:val="both"/>
        <w:rPr>
          <w:rFonts w:asciiTheme="minorHAnsi" w:hAnsiTheme="minorHAnsi"/>
          <w:sz w:val="22"/>
          <w:szCs w:val="22"/>
        </w:rPr>
      </w:pPr>
      <w:r>
        <w:rPr>
          <w:rFonts w:asciiTheme="minorHAnsi" w:hAnsiTheme="minorHAnsi"/>
          <w:sz w:val="22"/>
          <w:szCs w:val="22"/>
        </w:rPr>
        <w:t xml:space="preserve">Při nenaplnění </w:t>
      </w:r>
      <w:r w:rsidR="00A2024E">
        <w:rPr>
          <w:rFonts w:asciiTheme="minorHAnsi" w:hAnsiTheme="minorHAnsi"/>
          <w:sz w:val="22"/>
          <w:szCs w:val="22"/>
        </w:rPr>
        <w:t xml:space="preserve">předpokládaného modelovaného </w:t>
      </w:r>
      <w:r>
        <w:rPr>
          <w:rFonts w:asciiTheme="minorHAnsi" w:hAnsiTheme="minorHAnsi"/>
          <w:sz w:val="22"/>
          <w:szCs w:val="22"/>
        </w:rPr>
        <w:t xml:space="preserve">podílu ÚSC (kraj/obec) pro finanční zajištění sociálních služeb </w:t>
      </w:r>
      <w:r w:rsidRPr="440ABA4D">
        <w:rPr>
          <w:rFonts w:asciiTheme="minorHAnsi" w:hAnsiTheme="minorHAnsi"/>
          <w:sz w:val="22"/>
          <w:szCs w:val="22"/>
        </w:rPr>
        <w:t>s celokrajským významem</w:t>
      </w:r>
      <w:r>
        <w:rPr>
          <w:rFonts w:asciiTheme="minorHAnsi" w:hAnsiTheme="minorHAnsi"/>
          <w:sz w:val="22"/>
          <w:szCs w:val="22"/>
        </w:rPr>
        <w:t xml:space="preserve"> ve vazbě na dostupnost sociálních služeb na území ZK m</w:t>
      </w:r>
      <w:r w:rsidR="006F2FEF">
        <w:rPr>
          <w:rFonts w:asciiTheme="minorHAnsi" w:hAnsiTheme="minorHAnsi"/>
          <w:sz w:val="22"/>
          <w:szCs w:val="22"/>
        </w:rPr>
        <w:t>ů</w:t>
      </w:r>
      <w:r>
        <w:rPr>
          <w:rFonts w:asciiTheme="minorHAnsi" w:hAnsiTheme="minorHAnsi"/>
          <w:sz w:val="22"/>
          <w:szCs w:val="22"/>
        </w:rPr>
        <w:t>že kraj přistoupit ke změně modelace podílu ÚSC.</w:t>
      </w:r>
    </w:p>
    <w:p w14:paraId="77590A1D" w14:textId="77777777" w:rsidR="00475554" w:rsidRDefault="00475554">
      <w:pPr>
        <w:spacing w:before="120" w:after="120"/>
        <w:jc w:val="both"/>
      </w:pPr>
    </w:p>
    <w:p w14:paraId="2DE5E2C3" w14:textId="77777777" w:rsidR="00475554" w:rsidRDefault="00157B87">
      <w:pPr>
        <w:pStyle w:val="Odstavecseseznamem"/>
        <w:numPr>
          <w:ilvl w:val="0"/>
          <w:numId w:val="26"/>
        </w:numPr>
        <w:spacing w:before="120" w:after="240"/>
        <w:ind w:left="425" w:hanging="425"/>
        <w:contextualSpacing w:val="0"/>
        <w:jc w:val="both"/>
        <w:rPr>
          <w:rFonts w:ascii="Calibri" w:hAnsi="Calibri"/>
          <w:b/>
          <w:color w:val="000000" w:themeColor="text1"/>
          <w:spacing w:val="-2"/>
        </w:rPr>
      </w:pPr>
      <w:r>
        <w:rPr>
          <w:rFonts w:ascii="Calibri" w:hAnsi="Calibri"/>
          <w:b/>
        </w:rPr>
        <w:t xml:space="preserve">Z dotace poskytnuté v rámci </w:t>
      </w:r>
      <w:r>
        <w:rPr>
          <w:rFonts w:ascii="Calibri" w:hAnsi="Calibri"/>
          <w:b/>
          <w:color w:val="000000" w:themeColor="text1"/>
        </w:rPr>
        <w:t xml:space="preserve">individuálních projektů spolufinancovaných z Operačního </w:t>
      </w:r>
      <w:r>
        <w:rPr>
          <w:rFonts w:ascii="Calibri" w:hAnsi="Calibri"/>
          <w:b/>
          <w:color w:val="000000" w:themeColor="text1"/>
          <w:spacing w:val="-2"/>
        </w:rPr>
        <w:t>programu Zaměstnanost</w:t>
      </w:r>
      <w:r w:rsidR="00EE49FE">
        <w:rPr>
          <w:rFonts w:ascii="Calibri" w:hAnsi="Calibri"/>
          <w:b/>
          <w:color w:val="000000" w:themeColor="text1"/>
          <w:spacing w:val="-2"/>
        </w:rPr>
        <w:t xml:space="preserve"> plus</w:t>
      </w:r>
      <w:r>
        <w:rPr>
          <w:rFonts w:ascii="Calibri" w:hAnsi="Calibri"/>
          <w:b/>
          <w:color w:val="000000" w:themeColor="text1"/>
          <w:spacing w:val="-2"/>
        </w:rPr>
        <w:t>, případně dalších individuálních projektů spolufinancovaných z fondů EU</w:t>
      </w:r>
    </w:p>
    <w:p w14:paraId="67391FCA" w14:textId="17623C24" w:rsidR="00475554" w:rsidRDefault="00157B87">
      <w:pPr>
        <w:spacing w:before="120" w:after="120"/>
        <w:ind w:left="426"/>
        <w:jc w:val="both"/>
        <w:rPr>
          <w:rFonts w:eastAsiaTheme="minorHAnsi"/>
        </w:rPr>
      </w:pPr>
      <w:r>
        <w:t xml:space="preserve">Ve smyslu zákona </w:t>
      </w:r>
      <w:r w:rsidR="0036662B">
        <w:t>č. 250/2000 Sb.</w:t>
      </w:r>
      <w:r>
        <w:t xml:space="preserve"> jsou tyto Podmínky zpracovány pro účely poskytnutí finanční podpory všem </w:t>
      </w:r>
      <w:r w:rsidR="001A24F5">
        <w:t xml:space="preserve">dotčeným </w:t>
      </w:r>
      <w:r>
        <w:t xml:space="preserve">poskytovatelům sociálních služeb. Finanční podpora je poskytována formou dotace mimo příspěvkové organizace zřízené Zlínským krajem, kde je poskytována formou příspěvku na provoz. </w:t>
      </w:r>
    </w:p>
    <w:p w14:paraId="15857721" w14:textId="77777777" w:rsidR="00475554" w:rsidRDefault="00157B87">
      <w:pPr>
        <w:pStyle w:val="Default"/>
        <w:spacing w:before="120" w:after="120" w:line="276" w:lineRule="auto"/>
        <w:ind w:left="426"/>
        <w:jc w:val="both"/>
        <w:rPr>
          <w:rFonts w:ascii="Calibri" w:hAnsi="Calibri" w:cstheme="minorBidi"/>
          <w:color w:val="auto"/>
          <w:sz w:val="22"/>
          <w:szCs w:val="22"/>
        </w:rPr>
      </w:pPr>
      <w:r>
        <w:rPr>
          <w:rFonts w:ascii="Calibri" w:hAnsi="Calibri" w:cstheme="minorBidi"/>
          <w:color w:val="auto"/>
          <w:sz w:val="22"/>
          <w:szCs w:val="22"/>
        </w:rPr>
        <w:t>Konkrétní forma a výše záloh bude upravena příslušnou Veřejnoprávní smlouvou, příp. Rozhodnutím.</w:t>
      </w:r>
    </w:p>
    <w:p w14:paraId="3C37F24C" w14:textId="77777777" w:rsidR="00475554" w:rsidRDefault="00475554">
      <w:pPr>
        <w:pStyle w:val="Default"/>
        <w:spacing w:before="120" w:after="120" w:line="276" w:lineRule="auto"/>
        <w:jc w:val="both"/>
        <w:rPr>
          <w:rFonts w:ascii="Calibri" w:hAnsi="Calibri" w:cstheme="minorBidi"/>
          <w:color w:val="auto"/>
          <w:sz w:val="22"/>
          <w:szCs w:val="22"/>
        </w:rPr>
      </w:pPr>
    </w:p>
    <w:p w14:paraId="4957281F" w14:textId="77777777" w:rsidR="00475554" w:rsidRDefault="00157B87">
      <w:pPr>
        <w:pStyle w:val="Default"/>
        <w:numPr>
          <w:ilvl w:val="0"/>
          <w:numId w:val="26"/>
        </w:numPr>
        <w:spacing w:before="120" w:after="240" w:line="276" w:lineRule="auto"/>
        <w:ind w:left="425" w:hanging="425"/>
        <w:jc w:val="both"/>
        <w:rPr>
          <w:rFonts w:ascii="Calibri" w:hAnsi="Calibri" w:cstheme="minorBidi"/>
          <w:b/>
          <w:color w:val="auto"/>
          <w:sz w:val="22"/>
          <w:szCs w:val="22"/>
        </w:rPr>
      </w:pPr>
      <w:r>
        <w:rPr>
          <w:rFonts w:ascii="Calibri" w:hAnsi="Calibri" w:cstheme="minorBidi"/>
          <w:b/>
          <w:color w:val="auto"/>
          <w:sz w:val="22"/>
          <w:szCs w:val="22"/>
        </w:rPr>
        <w:t>Jiné veřejné zdroje</w:t>
      </w:r>
    </w:p>
    <w:p w14:paraId="2FAB1749" w14:textId="2EA9F9C3" w:rsidR="00475554" w:rsidRDefault="00157B87">
      <w:pPr>
        <w:pStyle w:val="Odstavecseseznamem"/>
        <w:spacing w:before="120" w:after="120"/>
        <w:ind w:left="426"/>
        <w:jc w:val="both"/>
        <w:rPr>
          <w:rFonts w:eastAsiaTheme="minorHAnsi"/>
        </w:rPr>
      </w:pPr>
      <w:r>
        <w:t xml:space="preserve">Ve smyslu zákona </w:t>
      </w:r>
      <w:r w:rsidR="0036662B">
        <w:t>č. 250/2000 Sb.</w:t>
      </w:r>
      <w:r>
        <w:t xml:space="preserve"> jsou tyto Podmínky zpracovány pro účely poskytnutí finanční podpory všem poskytovatelům sociálních služeb</w:t>
      </w:r>
      <w:r w:rsidR="00E20F8B" w:rsidRPr="00E20F8B">
        <w:t xml:space="preserve"> </w:t>
      </w:r>
      <w:r w:rsidR="00E20F8B">
        <w:t>i z případných jiných veřejných zdrojů</w:t>
      </w:r>
      <w:r>
        <w:t xml:space="preserve">. Finanční podpora je poskytována formou dotace mimo příspěvkové organizace zřízené Zlínským krajem, kde je poskytována formou příspěvku na provoz. </w:t>
      </w:r>
    </w:p>
    <w:p w14:paraId="4102EE8C" w14:textId="77777777" w:rsidR="00831449" w:rsidRDefault="00157B87">
      <w:pPr>
        <w:ind w:left="426"/>
        <w:jc w:val="both"/>
        <w:rPr>
          <w:rFonts w:ascii="Calibri" w:hAnsi="Calibri"/>
        </w:rPr>
      </w:pPr>
      <w:r>
        <w:rPr>
          <w:rFonts w:ascii="Calibri" w:hAnsi="Calibri"/>
        </w:rPr>
        <w:lastRenderedPageBreak/>
        <w:t>Konkrétní forma a výše záloh bude upravena příslušnou Veřejnoprávní smlouvou, příp. Rozhodnutím.</w:t>
      </w:r>
    </w:p>
    <w:p w14:paraId="4DB9D310" w14:textId="77777777" w:rsidR="00831449" w:rsidRDefault="00831449">
      <w:pPr>
        <w:ind w:left="426"/>
        <w:jc w:val="both"/>
        <w:rPr>
          <w:rFonts w:ascii="Calibri" w:hAnsi="Calibri"/>
        </w:rPr>
      </w:pPr>
    </w:p>
    <w:p w14:paraId="51A9262F" w14:textId="3D4CD048" w:rsidR="00475554" w:rsidRDefault="4454FFF2">
      <w:pPr>
        <w:ind w:left="426"/>
        <w:jc w:val="both"/>
        <w:rPr>
          <w:rFonts w:ascii="Calibri" w:hAnsi="Calibri"/>
        </w:rPr>
      </w:pPr>
      <w:r w:rsidRPr="4FFA86D5">
        <w:rPr>
          <w:rFonts w:ascii="Calibri" w:hAnsi="Calibri"/>
        </w:rPr>
        <w:t xml:space="preserve"> </w:t>
      </w:r>
      <w:r w:rsidR="00831449" w:rsidRPr="4FFA86D5">
        <w:rPr>
          <w:rFonts w:ascii="Calibri" w:hAnsi="Calibri"/>
        </w:rPr>
        <w:br w:type="page"/>
      </w:r>
    </w:p>
    <w:p w14:paraId="612AAAAB" w14:textId="5BE7B783" w:rsidR="00475554" w:rsidRDefault="00157B87">
      <w:pPr>
        <w:pStyle w:val="Nadpis1"/>
        <w:spacing w:before="120" w:after="120"/>
        <w:ind w:left="709" w:hanging="709"/>
        <w:jc w:val="both"/>
        <w:rPr>
          <w:rFonts w:asciiTheme="minorHAnsi" w:hAnsiTheme="minorHAnsi"/>
          <w:sz w:val="32"/>
          <w:szCs w:val="32"/>
        </w:rPr>
      </w:pPr>
      <w:bookmarkStart w:id="220" w:name="_Toc230777935"/>
      <w:r>
        <w:rPr>
          <w:rFonts w:asciiTheme="minorHAnsi" w:hAnsiTheme="minorHAnsi"/>
          <w:sz w:val="32"/>
          <w:szCs w:val="32"/>
        </w:rPr>
        <w:lastRenderedPageBreak/>
        <w:t>Tvorba rezervy</w:t>
      </w:r>
      <w:bookmarkEnd w:id="220"/>
    </w:p>
    <w:p w14:paraId="3CE25AE8" w14:textId="77777777" w:rsidR="00475554" w:rsidRDefault="00475554">
      <w:pPr>
        <w:pStyle w:val="Default"/>
        <w:spacing w:before="120" w:after="120" w:line="276" w:lineRule="auto"/>
        <w:jc w:val="both"/>
        <w:rPr>
          <w:rFonts w:asciiTheme="minorHAnsi" w:hAnsiTheme="minorHAnsi"/>
          <w:sz w:val="22"/>
          <w:szCs w:val="22"/>
        </w:rPr>
      </w:pPr>
    </w:p>
    <w:p w14:paraId="52C648A0" w14:textId="15355C50" w:rsidR="00475554" w:rsidRDefault="00157B87" w:rsidP="0B0510C0">
      <w:pPr>
        <w:pStyle w:val="Default"/>
        <w:spacing w:before="120" w:after="120" w:line="276" w:lineRule="auto"/>
        <w:jc w:val="both"/>
        <w:rPr>
          <w:rFonts w:asciiTheme="minorHAnsi" w:hAnsiTheme="minorHAnsi"/>
          <w:sz w:val="22"/>
          <w:szCs w:val="22"/>
        </w:rPr>
      </w:pPr>
      <w:r w:rsidRPr="0B0510C0">
        <w:rPr>
          <w:rFonts w:asciiTheme="minorHAnsi" w:hAnsiTheme="minorHAnsi"/>
          <w:spacing w:val="-2"/>
          <w:sz w:val="22"/>
          <w:szCs w:val="22"/>
        </w:rPr>
        <w:t>Rezerva</w:t>
      </w:r>
      <w:r w:rsidR="000D4B4F">
        <w:rPr>
          <w:rFonts w:asciiTheme="minorHAnsi" w:hAnsiTheme="minorHAnsi"/>
          <w:spacing w:val="-2"/>
          <w:sz w:val="22"/>
          <w:szCs w:val="22"/>
        </w:rPr>
        <w:t xml:space="preserve"> </w:t>
      </w:r>
      <w:r w:rsidR="000D4B4F" w:rsidRPr="00317EE3">
        <w:rPr>
          <w:rFonts w:asciiTheme="minorHAnsi" w:hAnsiTheme="minorHAnsi"/>
          <w:spacing w:val="-2"/>
          <w:sz w:val="22"/>
          <w:szCs w:val="22"/>
          <w:highlight w:val="yellow"/>
        </w:rPr>
        <w:t>na financování změn v</w:t>
      </w:r>
      <w:r w:rsidR="00C26BEE" w:rsidRPr="00317EE3">
        <w:rPr>
          <w:rFonts w:asciiTheme="minorHAnsi" w:hAnsiTheme="minorHAnsi"/>
          <w:spacing w:val="-2"/>
          <w:sz w:val="22"/>
          <w:szCs w:val="22"/>
          <w:highlight w:val="yellow"/>
        </w:rPr>
        <w:t xml:space="preserve"> Základní </w:t>
      </w:r>
      <w:r w:rsidR="000D4B4F" w:rsidRPr="00317EE3">
        <w:rPr>
          <w:rFonts w:asciiTheme="minorHAnsi" w:hAnsiTheme="minorHAnsi"/>
          <w:spacing w:val="-2"/>
          <w:sz w:val="22"/>
          <w:szCs w:val="22"/>
          <w:highlight w:val="yellow"/>
        </w:rPr>
        <w:t>síti v průběhu roku</w:t>
      </w:r>
      <w:r w:rsidRPr="0B0510C0">
        <w:rPr>
          <w:rFonts w:asciiTheme="minorHAnsi" w:hAnsiTheme="minorHAnsi"/>
          <w:spacing w:val="-2"/>
          <w:sz w:val="22"/>
          <w:szCs w:val="22"/>
        </w:rPr>
        <w:t xml:space="preserve"> je vytvářena z</w:t>
      </w:r>
      <w:r w:rsidRPr="0B0510C0">
        <w:rPr>
          <w:rFonts w:asciiTheme="minorHAnsi" w:hAnsiTheme="minorHAnsi"/>
          <w:b/>
          <w:bCs/>
          <w:spacing w:val="-2"/>
          <w:sz w:val="22"/>
          <w:szCs w:val="22"/>
        </w:rPr>
        <w:t xml:space="preserve"> dotace poskytnuté MPSV kraji </w:t>
      </w:r>
      <w:r w:rsidRPr="0B0510C0">
        <w:rPr>
          <w:rFonts w:asciiTheme="minorHAnsi" w:hAnsiTheme="minorHAnsi"/>
          <w:spacing w:val="-2"/>
          <w:sz w:val="22"/>
          <w:szCs w:val="22"/>
        </w:rPr>
        <w:t xml:space="preserve">pouze v případě, kdy v souladu se Střednědobým </w:t>
      </w:r>
      <w:r w:rsidRPr="0B0510C0">
        <w:rPr>
          <w:rFonts w:asciiTheme="minorHAnsi" w:hAnsiTheme="minorHAnsi"/>
          <w:sz w:val="22"/>
          <w:szCs w:val="22"/>
        </w:rPr>
        <w:t>plánem 202</w:t>
      </w:r>
      <w:r w:rsidR="00BB456B" w:rsidRPr="0B0510C0">
        <w:rPr>
          <w:rFonts w:asciiTheme="minorHAnsi" w:hAnsiTheme="minorHAnsi"/>
          <w:sz w:val="22"/>
          <w:szCs w:val="22"/>
        </w:rPr>
        <w:t>6</w:t>
      </w:r>
      <w:r w:rsidRPr="0B0510C0">
        <w:rPr>
          <w:rFonts w:asciiTheme="minorHAnsi" w:hAnsiTheme="minorHAnsi"/>
          <w:sz w:val="22"/>
          <w:szCs w:val="22"/>
        </w:rPr>
        <w:t>–202</w:t>
      </w:r>
      <w:r w:rsidR="00BB456B" w:rsidRPr="0B0510C0">
        <w:rPr>
          <w:rFonts w:asciiTheme="minorHAnsi" w:hAnsiTheme="minorHAnsi"/>
          <w:sz w:val="22"/>
          <w:szCs w:val="22"/>
        </w:rPr>
        <w:t>8</w:t>
      </w:r>
      <w:r w:rsidRPr="0B0510C0">
        <w:rPr>
          <w:rFonts w:asciiTheme="minorHAnsi" w:hAnsiTheme="minorHAnsi"/>
          <w:sz w:val="22"/>
          <w:szCs w:val="22"/>
        </w:rPr>
        <w:t xml:space="preserve"> (obecné principy) </w:t>
      </w:r>
      <w:r w:rsidR="005708F8" w:rsidRPr="0B0510C0">
        <w:rPr>
          <w:rFonts w:asciiTheme="minorHAnsi" w:hAnsiTheme="minorHAnsi"/>
          <w:spacing w:val="-2"/>
          <w:sz w:val="22"/>
          <w:szCs w:val="22"/>
        </w:rPr>
        <w:t>a Akčním plánem pro rok 202</w:t>
      </w:r>
      <w:r w:rsidR="271DDBB5" w:rsidRPr="0B0510C0">
        <w:rPr>
          <w:rFonts w:asciiTheme="minorHAnsi" w:hAnsiTheme="minorHAnsi"/>
          <w:sz w:val="22"/>
          <w:szCs w:val="22"/>
        </w:rPr>
        <w:t>7</w:t>
      </w:r>
      <w:r w:rsidRPr="0B0510C0">
        <w:rPr>
          <w:rFonts w:asciiTheme="minorHAnsi" w:hAnsiTheme="minorHAnsi"/>
          <w:sz w:val="22"/>
          <w:szCs w:val="22"/>
        </w:rPr>
        <w:t xml:space="preserve"> je předpokládán: </w:t>
      </w:r>
    </w:p>
    <w:p w14:paraId="1BDD13DE" w14:textId="75EE10C3" w:rsidR="00475554" w:rsidRDefault="00157B87" w:rsidP="4813B1C2">
      <w:pPr>
        <w:pStyle w:val="Default"/>
        <w:numPr>
          <w:ilvl w:val="0"/>
          <w:numId w:val="29"/>
        </w:numPr>
        <w:spacing w:before="120" w:after="120" w:line="276" w:lineRule="auto"/>
        <w:ind w:left="426" w:hanging="426"/>
        <w:jc w:val="both"/>
        <w:rPr>
          <w:rFonts w:asciiTheme="minorHAnsi" w:hAnsiTheme="minorHAnsi"/>
          <w:sz w:val="22"/>
          <w:szCs w:val="22"/>
        </w:rPr>
      </w:pPr>
      <w:r w:rsidRPr="4813B1C2">
        <w:rPr>
          <w:rFonts w:asciiTheme="minorHAnsi" w:hAnsiTheme="minorHAnsi"/>
          <w:sz w:val="22"/>
          <w:szCs w:val="22"/>
        </w:rPr>
        <w:t>Rozvoj již existujících kapacit sociálních služeb v průběhu kalendářního roku.</w:t>
      </w:r>
    </w:p>
    <w:p w14:paraId="273927D8" w14:textId="4AABEC1F" w:rsidR="00041878" w:rsidRDefault="00157B87" w:rsidP="00041878">
      <w:pPr>
        <w:pStyle w:val="Default"/>
        <w:numPr>
          <w:ilvl w:val="0"/>
          <w:numId w:val="29"/>
        </w:numPr>
        <w:spacing w:before="120" w:after="120" w:line="276" w:lineRule="auto"/>
        <w:ind w:left="426" w:hanging="426"/>
        <w:jc w:val="both"/>
        <w:rPr>
          <w:rFonts w:asciiTheme="minorHAnsi" w:hAnsiTheme="minorHAnsi"/>
          <w:sz w:val="22"/>
          <w:szCs w:val="22"/>
        </w:rPr>
      </w:pPr>
      <w:r w:rsidRPr="00041878">
        <w:rPr>
          <w:rFonts w:asciiTheme="minorHAnsi" w:hAnsiTheme="minorHAnsi"/>
          <w:sz w:val="22"/>
          <w:szCs w:val="22"/>
        </w:rPr>
        <w:t xml:space="preserve">Rozvoj a vznik nových </w:t>
      </w:r>
      <w:r w:rsidR="0011590D" w:rsidRPr="00317EE3">
        <w:rPr>
          <w:rFonts w:asciiTheme="minorHAnsi" w:hAnsiTheme="minorHAnsi"/>
          <w:sz w:val="22"/>
          <w:szCs w:val="22"/>
          <w:highlight w:val="yellow"/>
        </w:rPr>
        <w:t>kapacit</w:t>
      </w:r>
      <w:r w:rsidR="0011590D">
        <w:rPr>
          <w:rFonts w:asciiTheme="minorHAnsi" w:hAnsiTheme="minorHAnsi"/>
          <w:sz w:val="22"/>
          <w:szCs w:val="22"/>
        </w:rPr>
        <w:t xml:space="preserve"> </w:t>
      </w:r>
      <w:r w:rsidRPr="00041878">
        <w:rPr>
          <w:rFonts w:asciiTheme="minorHAnsi" w:hAnsiTheme="minorHAnsi"/>
          <w:sz w:val="22"/>
          <w:szCs w:val="22"/>
        </w:rPr>
        <w:t>sociálních služeb v návaznosti na opatření a proces transformace v domovech pro osoby se zdravotním postižením.</w:t>
      </w:r>
    </w:p>
    <w:p w14:paraId="6E0757A9" w14:textId="41A82A89" w:rsidR="45981FD9" w:rsidRPr="0056124C" w:rsidRDefault="00F07B92" w:rsidP="00041878">
      <w:pPr>
        <w:pStyle w:val="Default"/>
        <w:numPr>
          <w:ilvl w:val="0"/>
          <w:numId w:val="29"/>
        </w:numPr>
        <w:spacing w:before="120" w:after="120" w:line="276" w:lineRule="auto"/>
        <w:ind w:left="426" w:hanging="426"/>
        <w:jc w:val="both"/>
        <w:rPr>
          <w:rFonts w:asciiTheme="minorHAnsi" w:hAnsiTheme="minorHAnsi"/>
          <w:sz w:val="22"/>
          <w:szCs w:val="22"/>
        </w:rPr>
      </w:pPr>
      <w:r w:rsidRPr="00041878">
        <w:rPr>
          <w:rFonts w:asciiTheme="minorHAnsi" w:hAnsiTheme="minorHAnsi"/>
          <w:sz w:val="22"/>
          <w:szCs w:val="22"/>
        </w:rPr>
        <w:t xml:space="preserve">K </w:t>
      </w:r>
      <w:r w:rsidR="45981FD9" w:rsidRPr="0056124C">
        <w:rPr>
          <w:rFonts w:asciiTheme="minorHAnsi" w:hAnsiTheme="minorHAnsi"/>
          <w:sz w:val="22"/>
          <w:szCs w:val="22"/>
        </w:rPr>
        <w:t>dofinancování sociálních služeb v průběhu roku</w:t>
      </w:r>
      <w:r w:rsidR="00041878">
        <w:rPr>
          <w:rFonts w:asciiTheme="minorHAnsi" w:hAnsiTheme="minorHAnsi"/>
          <w:sz w:val="22"/>
          <w:szCs w:val="22"/>
        </w:rPr>
        <w:t xml:space="preserve"> s</w:t>
      </w:r>
      <w:r w:rsidR="45981FD9" w:rsidRPr="0056124C">
        <w:rPr>
          <w:rFonts w:asciiTheme="minorHAnsi" w:hAnsiTheme="minorHAnsi"/>
          <w:sz w:val="22"/>
          <w:szCs w:val="22"/>
        </w:rPr>
        <w:t xml:space="preserve"> </w:t>
      </w:r>
      <w:r w:rsidR="00041878">
        <w:rPr>
          <w:rFonts w:asciiTheme="minorHAnsi" w:hAnsiTheme="minorHAnsi"/>
          <w:sz w:val="22"/>
          <w:szCs w:val="22"/>
        </w:rPr>
        <w:t>c</w:t>
      </w:r>
      <w:r w:rsidR="45981FD9" w:rsidRPr="0056124C">
        <w:rPr>
          <w:rFonts w:asciiTheme="minorHAnsi" w:hAnsiTheme="minorHAnsi"/>
          <w:sz w:val="22"/>
          <w:szCs w:val="22"/>
        </w:rPr>
        <w:t xml:space="preserve">ílem zajištění finančních prostředků na vývoj potřeb uživatelů sociálních služeb a </w:t>
      </w:r>
      <w:r w:rsidR="00BE3A3C" w:rsidRPr="00041878">
        <w:rPr>
          <w:rFonts w:asciiTheme="minorHAnsi" w:hAnsiTheme="minorHAnsi"/>
          <w:sz w:val="22"/>
          <w:szCs w:val="22"/>
        </w:rPr>
        <w:t xml:space="preserve">ochranu a zdraví </w:t>
      </w:r>
      <w:r w:rsidR="00C26BEE" w:rsidRPr="00317EE3">
        <w:rPr>
          <w:rFonts w:asciiTheme="minorHAnsi" w:hAnsiTheme="minorHAnsi"/>
          <w:sz w:val="22"/>
          <w:szCs w:val="22"/>
          <w:highlight w:val="yellow"/>
        </w:rPr>
        <w:t>občanů</w:t>
      </w:r>
      <w:r w:rsidR="00C26BEE" w:rsidRPr="0056124C">
        <w:rPr>
          <w:rFonts w:asciiTheme="minorHAnsi" w:hAnsiTheme="minorHAnsi"/>
          <w:sz w:val="22"/>
          <w:szCs w:val="22"/>
        </w:rPr>
        <w:t xml:space="preserve"> </w:t>
      </w:r>
      <w:r w:rsidR="009A4F46" w:rsidRPr="00041878">
        <w:rPr>
          <w:rFonts w:asciiTheme="minorHAnsi" w:hAnsiTheme="minorHAnsi"/>
          <w:sz w:val="22"/>
          <w:szCs w:val="22"/>
        </w:rPr>
        <w:t>Zlínského kraje</w:t>
      </w:r>
      <w:r w:rsidR="45981FD9" w:rsidRPr="0056124C">
        <w:rPr>
          <w:rFonts w:asciiTheme="minorHAnsi" w:hAnsiTheme="minorHAnsi"/>
          <w:sz w:val="22"/>
          <w:szCs w:val="22"/>
        </w:rPr>
        <w:t xml:space="preserve"> v průběhu roku, a</w:t>
      </w:r>
      <w:r w:rsidR="00376DC6" w:rsidRPr="00041878">
        <w:rPr>
          <w:rFonts w:asciiTheme="minorHAnsi" w:hAnsiTheme="minorHAnsi"/>
          <w:sz w:val="22"/>
          <w:szCs w:val="22"/>
        </w:rPr>
        <w:t>by kraj měl</w:t>
      </w:r>
      <w:r w:rsidR="45981FD9" w:rsidRPr="0056124C">
        <w:rPr>
          <w:rFonts w:asciiTheme="minorHAnsi" w:hAnsiTheme="minorHAnsi"/>
          <w:sz w:val="22"/>
          <w:szCs w:val="22"/>
        </w:rPr>
        <w:t xml:space="preserve"> možnost reagovat na oprávněné požadavky poskytovatelů.</w:t>
      </w:r>
    </w:p>
    <w:p w14:paraId="1662AFEF" w14:textId="260B1B4C" w:rsidR="00475554" w:rsidRDefault="00157B87">
      <w:pPr>
        <w:pStyle w:val="Default"/>
        <w:spacing w:before="120" w:after="120" w:line="276" w:lineRule="auto"/>
        <w:jc w:val="both"/>
        <w:rPr>
          <w:rFonts w:asciiTheme="minorHAnsi" w:hAnsiTheme="minorHAnsi"/>
          <w:sz w:val="22"/>
          <w:szCs w:val="22"/>
        </w:rPr>
      </w:pPr>
      <w:r>
        <w:rPr>
          <w:rFonts w:asciiTheme="minorHAnsi" w:hAnsiTheme="minorHAnsi"/>
          <w:sz w:val="22"/>
          <w:szCs w:val="22"/>
        </w:rPr>
        <w:t xml:space="preserve">Výše rezervy odpovídá částce, která je vypočtena v souladu s podmínkami v článcích 4 a 5 tohoto dokumentu, v závislosti na druhu sociální služby a plánované kapacitě, při zohlednění daného období a případného uplatnění redukčních mechanismů dle článku </w:t>
      </w:r>
      <w:r w:rsidR="001A24F5">
        <w:rPr>
          <w:rFonts w:asciiTheme="minorHAnsi" w:hAnsiTheme="minorHAnsi"/>
          <w:sz w:val="22"/>
          <w:szCs w:val="22"/>
        </w:rPr>
        <w:t>6.</w:t>
      </w:r>
      <w:r w:rsidR="008C616A">
        <w:rPr>
          <w:rFonts w:asciiTheme="minorHAnsi" w:hAnsiTheme="minorHAnsi"/>
          <w:sz w:val="22"/>
          <w:szCs w:val="22"/>
        </w:rPr>
        <w:t>1</w:t>
      </w:r>
      <w:r>
        <w:rPr>
          <w:rFonts w:asciiTheme="minorHAnsi" w:hAnsiTheme="minorHAnsi"/>
          <w:sz w:val="22"/>
          <w:szCs w:val="22"/>
        </w:rPr>
        <w:t xml:space="preserve"> </w:t>
      </w:r>
      <w:r w:rsidR="0097018B">
        <w:rPr>
          <w:rFonts w:asciiTheme="minorHAnsi" w:hAnsiTheme="minorHAnsi"/>
          <w:sz w:val="22"/>
          <w:szCs w:val="22"/>
        </w:rPr>
        <w:t xml:space="preserve">a bonifikace </w:t>
      </w:r>
      <w:r w:rsidR="00461F62">
        <w:rPr>
          <w:rFonts w:asciiTheme="minorHAnsi" w:hAnsiTheme="minorHAnsi"/>
          <w:sz w:val="22"/>
          <w:szCs w:val="22"/>
        </w:rPr>
        <w:t xml:space="preserve">dle článku 6.2 </w:t>
      </w:r>
      <w:r>
        <w:rPr>
          <w:rFonts w:asciiTheme="minorHAnsi" w:hAnsiTheme="minorHAnsi"/>
          <w:sz w:val="22"/>
          <w:szCs w:val="22"/>
        </w:rPr>
        <w:t>tohoto dokumentu.</w:t>
      </w:r>
      <w:r w:rsidR="0054431A">
        <w:rPr>
          <w:rFonts w:asciiTheme="minorHAnsi" w:hAnsiTheme="minorHAnsi"/>
          <w:sz w:val="22"/>
          <w:szCs w:val="22"/>
        </w:rPr>
        <w:t xml:space="preserve"> Kraj nedofinancuje sociální službu</w:t>
      </w:r>
      <w:r w:rsidR="00210305">
        <w:rPr>
          <w:rFonts w:asciiTheme="minorHAnsi" w:hAnsiTheme="minorHAnsi"/>
          <w:sz w:val="22"/>
          <w:szCs w:val="22"/>
        </w:rPr>
        <w:t xml:space="preserve"> (konkrétní identifikátor)</w:t>
      </w:r>
      <w:r w:rsidR="0054431A">
        <w:rPr>
          <w:rFonts w:asciiTheme="minorHAnsi" w:hAnsiTheme="minorHAnsi"/>
          <w:sz w:val="22"/>
          <w:szCs w:val="22"/>
        </w:rPr>
        <w:t xml:space="preserve">, z níž obdrží v průběhu dotačního roku vratku poskytnuté finanční podpory z důvodu </w:t>
      </w:r>
      <w:r w:rsidR="00A310E1">
        <w:rPr>
          <w:rFonts w:asciiTheme="minorHAnsi" w:hAnsiTheme="minorHAnsi"/>
          <w:sz w:val="22"/>
          <w:szCs w:val="22"/>
        </w:rPr>
        <w:t xml:space="preserve">jejího </w:t>
      </w:r>
      <w:r w:rsidR="0054431A">
        <w:rPr>
          <w:rFonts w:asciiTheme="minorHAnsi" w:hAnsiTheme="minorHAnsi"/>
          <w:sz w:val="22"/>
          <w:szCs w:val="22"/>
        </w:rPr>
        <w:t xml:space="preserve">nečerpání. </w:t>
      </w:r>
    </w:p>
    <w:p w14:paraId="6304101B" w14:textId="77777777" w:rsidR="00475554" w:rsidRDefault="00475554">
      <w:pPr>
        <w:pStyle w:val="Default"/>
        <w:spacing w:before="120" w:after="120" w:line="276" w:lineRule="auto"/>
        <w:jc w:val="both"/>
        <w:rPr>
          <w:rFonts w:asciiTheme="minorHAnsi" w:hAnsiTheme="minorHAnsi"/>
          <w:sz w:val="22"/>
          <w:szCs w:val="22"/>
        </w:rPr>
      </w:pPr>
    </w:p>
    <w:p w14:paraId="2DEAC310" w14:textId="77777777" w:rsidR="00475554" w:rsidRDefault="00157B87">
      <w:pPr>
        <w:spacing w:before="120" w:after="120"/>
        <w:jc w:val="both"/>
        <w:rPr>
          <w:rFonts w:cs="EUAlbertina"/>
          <w:color w:val="000000"/>
        </w:rPr>
      </w:pPr>
      <w:r>
        <w:br w:type="page"/>
      </w:r>
    </w:p>
    <w:p w14:paraId="2249FBD4" w14:textId="77777777" w:rsidR="00475554" w:rsidRDefault="00157B87">
      <w:pPr>
        <w:pStyle w:val="Nadpis1"/>
        <w:spacing w:before="120" w:after="120"/>
        <w:ind w:left="709" w:hanging="709"/>
        <w:jc w:val="both"/>
        <w:rPr>
          <w:rFonts w:asciiTheme="minorHAnsi" w:hAnsiTheme="minorHAnsi"/>
          <w:sz w:val="32"/>
          <w:szCs w:val="32"/>
        </w:rPr>
      </w:pPr>
      <w:bookmarkStart w:id="221" w:name="_Toc230777936"/>
      <w:r>
        <w:rPr>
          <w:rFonts w:asciiTheme="minorHAnsi" w:hAnsiTheme="minorHAnsi"/>
          <w:sz w:val="32"/>
          <w:szCs w:val="32"/>
        </w:rPr>
        <w:lastRenderedPageBreak/>
        <w:t>Kontrolní mechanismy</w:t>
      </w:r>
      <w:bookmarkEnd w:id="216"/>
      <w:bookmarkEnd w:id="217"/>
      <w:bookmarkEnd w:id="221"/>
    </w:p>
    <w:p w14:paraId="0B4EC4A4" w14:textId="77777777" w:rsidR="00475554" w:rsidRDefault="00475554">
      <w:pPr>
        <w:autoSpaceDE w:val="0"/>
        <w:autoSpaceDN w:val="0"/>
        <w:adjustRightInd w:val="0"/>
        <w:spacing w:before="120" w:after="120"/>
        <w:jc w:val="both"/>
      </w:pPr>
    </w:p>
    <w:p w14:paraId="67DA8C23" w14:textId="77777777" w:rsidR="00475554" w:rsidRDefault="00157B87">
      <w:pPr>
        <w:autoSpaceDE w:val="0"/>
        <w:autoSpaceDN w:val="0"/>
        <w:adjustRightInd w:val="0"/>
        <w:spacing w:before="120" w:after="120"/>
        <w:jc w:val="both"/>
      </w:pPr>
      <w:r>
        <w:t>Kontrolní mechanismy se zaměřují na dodržování platné legislativy a na účelné, hospodárné a efektivní využití finančních prostředků na základě stanovených kvantitativních a kvalitativních ukazatelů ve webové aplikaci KISSoS a na plnění podmínek stanovených uzavřenou Veřejnoprávní smlouvou, příp. vydaným Rozhodnutím.</w:t>
      </w:r>
    </w:p>
    <w:p w14:paraId="463EFC45" w14:textId="0ED039B9" w:rsidR="00475554" w:rsidRDefault="00157B87" w:rsidP="0B0510C0">
      <w:pPr>
        <w:autoSpaceDE w:val="0"/>
        <w:autoSpaceDN w:val="0"/>
        <w:adjustRightInd w:val="0"/>
        <w:spacing w:before="120" w:after="120"/>
        <w:jc w:val="both"/>
      </w:pPr>
      <w:r>
        <w:t xml:space="preserve">Stěžejním kontrolním mechanismem je </w:t>
      </w:r>
      <w:r w:rsidRPr="0B0510C0">
        <w:rPr>
          <w:b/>
          <w:bCs/>
        </w:rPr>
        <w:t>veřejnosprávní kontrola</w:t>
      </w:r>
      <w:r>
        <w:t xml:space="preserve"> dle zákona </w:t>
      </w:r>
      <w:r w:rsidRPr="00817B3E">
        <w:rPr>
          <w:highlight w:val="yellow"/>
        </w:rPr>
        <w:t>č.</w:t>
      </w:r>
      <w:r w:rsidR="235A728A" w:rsidRPr="00817B3E">
        <w:rPr>
          <w:highlight w:val="yellow"/>
        </w:rPr>
        <w:t xml:space="preserve"> 231/2025 Sb.</w:t>
      </w:r>
      <w:r w:rsidR="0DAD13B3" w:rsidRPr="00817B3E">
        <w:rPr>
          <w:highlight w:val="yellow"/>
        </w:rPr>
        <w:t>, o řízení a kontrole veřejných financí</w:t>
      </w:r>
      <w:r>
        <w:t xml:space="preserve">, prováděná v souladu se zákonem č. 255/2012 Sb., </w:t>
      </w:r>
      <w:r w:rsidRPr="0B0510C0">
        <w:rPr>
          <w:rFonts w:cs="Arial"/>
        </w:rPr>
        <w:t>o kontrole (kontrolní řád), ve znění pozdějších předpisů</w:t>
      </w:r>
      <w:r>
        <w:t xml:space="preserve">, a to včetně </w:t>
      </w:r>
      <w:r w:rsidRPr="0B0510C0">
        <w:rPr>
          <w:b/>
          <w:bCs/>
        </w:rPr>
        <w:t>úkonů předcházejících kontrole</w:t>
      </w:r>
      <w:r>
        <w:t xml:space="preserve"> dle § 3 kontrolního řádu, jejichž účelem je opatření podkladů pro posouzení, zda zahájit kontrolu. Kraj vykonává veřejnosprávní kontrolu v souladu s aktuální vnitřní směrnicí Zlínského kraje.</w:t>
      </w:r>
    </w:p>
    <w:p w14:paraId="7960CFEF" w14:textId="77777777" w:rsidR="00475554" w:rsidRDefault="00475554">
      <w:pPr>
        <w:autoSpaceDE w:val="0"/>
        <w:autoSpaceDN w:val="0"/>
        <w:adjustRightInd w:val="0"/>
        <w:spacing w:before="120" w:after="120"/>
        <w:jc w:val="both"/>
      </w:pPr>
    </w:p>
    <w:p w14:paraId="1216011C" w14:textId="77777777" w:rsidR="00475554" w:rsidRDefault="00157B87">
      <w:pPr>
        <w:pStyle w:val="Nadpis2"/>
        <w:spacing w:before="120" w:after="120"/>
        <w:ind w:left="709" w:hanging="709"/>
        <w:jc w:val="both"/>
        <w:rPr>
          <w:rFonts w:ascii="Calibri" w:hAnsi="Calibri"/>
          <w:sz w:val="28"/>
          <w:szCs w:val="28"/>
        </w:rPr>
      </w:pPr>
      <w:bookmarkStart w:id="222" w:name="_Toc230777937"/>
      <w:r>
        <w:rPr>
          <w:rFonts w:ascii="Calibri" w:hAnsi="Calibri"/>
          <w:sz w:val="28"/>
          <w:szCs w:val="28"/>
        </w:rPr>
        <w:t>Zásady</w:t>
      </w:r>
      <w:bookmarkEnd w:id="222"/>
    </w:p>
    <w:p w14:paraId="71353741" w14:textId="77777777" w:rsidR="00475554" w:rsidRDefault="00475554">
      <w:pPr>
        <w:autoSpaceDE w:val="0"/>
        <w:autoSpaceDN w:val="0"/>
        <w:adjustRightInd w:val="0"/>
        <w:spacing w:before="120" w:after="120"/>
        <w:jc w:val="both"/>
      </w:pPr>
    </w:p>
    <w:p w14:paraId="2195BFA3" w14:textId="77777777" w:rsidR="00475554" w:rsidRDefault="00157B87">
      <w:pPr>
        <w:pStyle w:val="Odstavecseseznamem"/>
        <w:numPr>
          <w:ilvl w:val="0"/>
          <w:numId w:val="23"/>
        </w:numPr>
        <w:autoSpaceDE w:val="0"/>
        <w:autoSpaceDN w:val="0"/>
        <w:adjustRightInd w:val="0"/>
        <w:spacing w:before="120" w:after="120"/>
        <w:ind w:left="426" w:hanging="426"/>
        <w:contextualSpacing w:val="0"/>
        <w:jc w:val="both"/>
      </w:pPr>
      <w:r>
        <w:t>Je nastaveno systematické ověřování skutečností rozhodných pro hospodaření s veřejnými prostředky, a to před jejich poskytnutím, v průběhu jejich použití a následně po jejich použití.</w:t>
      </w:r>
    </w:p>
    <w:p w14:paraId="08E58FFC" w14:textId="77777777" w:rsidR="00475554" w:rsidRDefault="00157B87">
      <w:pPr>
        <w:pStyle w:val="Odstavecseseznamem"/>
        <w:numPr>
          <w:ilvl w:val="0"/>
          <w:numId w:val="23"/>
        </w:numPr>
        <w:autoSpaceDE w:val="0"/>
        <w:autoSpaceDN w:val="0"/>
        <w:adjustRightInd w:val="0"/>
        <w:spacing w:before="120" w:after="120"/>
        <w:ind w:left="426" w:hanging="426"/>
        <w:contextualSpacing w:val="0"/>
        <w:jc w:val="both"/>
      </w:pPr>
      <w:r>
        <w:t>Součástí systematického ověřování je také průběžný monitoring a úkony předcházející kontrole (např. vzhledem k nákladům a výnosům, vzhledem ke sledovaným ukazatelům a indikátorům vymezeným ve webové aplikaci KISSoS, vzhledem k nadměrnosti vyrovnávací platby).</w:t>
      </w:r>
    </w:p>
    <w:p w14:paraId="69D159C3" w14:textId="77777777" w:rsidR="00475554" w:rsidRDefault="00157B87">
      <w:pPr>
        <w:pStyle w:val="Odstavecseseznamem"/>
        <w:numPr>
          <w:ilvl w:val="0"/>
          <w:numId w:val="23"/>
        </w:numPr>
        <w:autoSpaceDE w:val="0"/>
        <w:autoSpaceDN w:val="0"/>
        <w:adjustRightInd w:val="0"/>
        <w:spacing w:before="120" w:after="120"/>
        <w:ind w:left="426" w:hanging="426"/>
        <w:contextualSpacing w:val="0"/>
        <w:jc w:val="both"/>
      </w:pPr>
      <w:r>
        <w:t>O úkonech předcházejících kontrole je pořizován záznam. Navazuje-li na tyto úkony kontrola, mohou sloužit skutečnosti takto získané jako podklad pro kontrolní zjištění.</w:t>
      </w:r>
    </w:p>
    <w:p w14:paraId="1F6D75EB" w14:textId="77777777" w:rsidR="00475554" w:rsidRDefault="00157B87">
      <w:pPr>
        <w:pStyle w:val="Odstavecseseznamem"/>
        <w:numPr>
          <w:ilvl w:val="0"/>
          <w:numId w:val="23"/>
        </w:numPr>
        <w:autoSpaceDE w:val="0"/>
        <w:autoSpaceDN w:val="0"/>
        <w:adjustRightInd w:val="0"/>
        <w:spacing w:before="120" w:after="120"/>
        <w:ind w:left="426" w:hanging="426"/>
        <w:contextualSpacing w:val="0"/>
        <w:jc w:val="both"/>
      </w:pPr>
      <w:r>
        <w:t>Kontroly na místě probíhají na základě ročního Plánu kontrol na vzorku poskytovatelů sociálních služeb. Mimo tento Plán kontrol může proběhnout také kontrola mimořádná.</w:t>
      </w:r>
    </w:p>
    <w:p w14:paraId="45517750" w14:textId="77777777" w:rsidR="00475554" w:rsidRDefault="00157B87">
      <w:pPr>
        <w:pStyle w:val="Odstavecseseznamem"/>
        <w:numPr>
          <w:ilvl w:val="0"/>
          <w:numId w:val="23"/>
        </w:numPr>
        <w:autoSpaceDE w:val="0"/>
        <w:autoSpaceDN w:val="0"/>
        <w:adjustRightInd w:val="0"/>
        <w:spacing w:before="120" w:after="120"/>
        <w:ind w:left="426" w:hanging="426"/>
        <w:contextualSpacing w:val="0"/>
        <w:jc w:val="both"/>
      </w:pPr>
      <w:r>
        <w:t>Výběr vzorku do Plánu kontrol, včetně objemu kontrolovaných podpořených sociálních služeb za období příslušného dotačního roku, je v souladu s Metodikou MPSV pro poskytování dotací ze státního rozpočtu krajům a Hlavnímu městu Praze pro daný dotační rok.</w:t>
      </w:r>
    </w:p>
    <w:p w14:paraId="615B01B7" w14:textId="77777777" w:rsidR="00475554" w:rsidRDefault="00157B87">
      <w:pPr>
        <w:pStyle w:val="Odstavecseseznamem"/>
        <w:numPr>
          <w:ilvl w:val="0"/>
          <w:numId w:val="23"/>
        </w:numPr>
        <w:autoSpaceDE w:val="0"/>
        <w:autoSpaceDN w:val="0"/>
        <w:adjustRightInd w:val="0"/>
        <w:spacing w:before="120" w:after="120"/>
        <w:ind w:left="426" w:hanging="426"/>
        <w:contextualSpacing w:val="0"/>
        <w:jc w:val="both"/>
      </w:pPr>
      <w:r>
        <w:t xml:space="preserve">Kritéria pro výběr vzorku do Plánu kontrol na dané období jsou stanovena a jsou k dispozici na věcně příslušném odboru </w:t>
      </w:r>
      <w:r>
        <w:rPr>
          <w:rFonts w:cs="Arial"/>
          <w:color w:val="231F20"/>
        </w:rPr>
        <w:t>Krajského úřadu Zlínského kraje</w:t>
      </w:r>
      <w:r>
        <w:t xml:space="preserve"> (zohledňováno je např. zastoupení poskytovatelů sociálních služeb a sociálních služeb, kde kontrola dosud neproběhla, zastoupení sociálních služeb s ukončenou registrací a pověřením, zastoupení všech právních forem, zastoupení více druhů sociálních služeb, zastoupení všech forem poskytování sociálních služeb, zastoupení celého území Zlínského kraje, zastoupení sociálních služeb s nízkou i vysokou finanční podporou).</w:t>
      </w:r>
    </w:p>
    <w:p w14:paraId="7B5DB885" w14:textId="77777777" w:rsidR="00475554" w:rsidRDefault="00157B87">
      <w:pPr>
        <w:pStyle w:val="Odstavecseseznamem"/>
        <w:numPr>
          <w:ilvl w:val="0"/>
          <w:numId w:val="23"/>
        </w:numPr>
        <w:autoSpaceDE w:val="0"/>
        <w:autoSpaceDN w:val="0"/>
        <w:adjustRightInd w:val="0"/>
        <w:spacing w:before="120" w:after="120"/>
        <w:ind w:left="426" w:hanging="426"/>
        <w:contextualSpacing w:val="0"/>
        <w:jc w:val="both"/>
      </w:pPr>
      <w:r>
        <w:t>Kontrolní mechanismy podchycují dodržování zásadních pravidel, mezi něž patří např.:</w:t>
      </w:r>
    </w:p>
    <w:p w14:paraId="557CCDDC" w14:textId="77777777" w:rsidR="00475554" w:rsidRDefault="00157B87">
      <w:pPr>
        <w:pStyle w:val="Odstavecseseznamem"/>
        <w:numPr>
          <w:ilvl w:val="0"/>
          <w:numId w:val="31"/>
        </w:numPr>
        <w:autoSpaceDE w:val="0"/>
        <w:autoSpaceDN w:val="0"/>
        <w:adjustRightInd w:val="0"/>
        <w:spacing w:before="120" w:after="120"/>
        <w:contextualSpacing w:val="0"/>
        <w:jc w:val="both"/>
      </w:pPr>
      <w:r>
        <w:t>Příjemce finanční podpory musí dodržet podmínky stanovené uzavřenou Veřejnoprávní smlouvu, příp. vydaným Rozhodnutím.</w:t>
      </w:r>
    </w:p>
    <w:p w14:paraId="2FF26164" w14:textId="77777777" w:rsidR="00475554" w:rsidRDefault="00157B87">
      <w:pPr>
        <w:pStyle w:val="Odstavecseseznamem"/>
        <w:numPr>
          <w:ilvl w:val="0"/>
          <w:numId w:val="31"/>
        </w:numPr>
        <w:autoSpaceDE w:val="0"/>
        <w:autoSpaceDN w:val="0"/>
        <w:adjustRightInd w:val="0"/>
        <w:spacing w:before="120" w:after="120"/>
        <w:contextualSpacing w:val="0"/>
        <w:jc w:val="both"/>
        <w:rPr>
          <w:rFonts w:ascii="Calibri" w:hAnsi="Calibri" w:cs="Calibri"/>
        </w:rPr>
      </w:pPr>
      <w:r>
        <w:rPr>
          <w:rFonts w:ascii="Calibri" w:hAnsi="Calibri" w:cs="Calibri"/>
        </w:rPr>
        <w:t>Příjemce finanční podpory vede oddělené účetnictví pro sociální služby, k jejichž výkonu byl pověřen závazkem veřejné služby.</w:t>
      </w:r>
    </w:p>
    <w:p w14:paraId="008F0576" w14:textId="77777777" w:rsidR="00475554" w:rsidRDefault="00157B87">
      <w:pPr>
        <w:pStyle w:val="Odstavecseseznamem"/>
        <w:numPr>
          <w:ilvl w:val="0"/>
          <w:numId w:val="31"/>
        </w:numPr>
        <w:autoSpaceDE w:val="0"/>
        <w:autoSpaceDN w:val="0"/>
        <w:adjustRightInd w:val="0"/>
        <w:spacing w:before="120" w:after="120"/>
        <w:contextualSpacing w:val="0"/>
        <w:jc w:val="both"/>
        <w:rPr>
          <w:rFonts w:ascii="Calibri" w:hAnsi="Calibri" w:cs="Calibri"/>
        </w:rPr>
      </w:pPr>
      <w:r>
        <w:rPr>
          <w:rFonts w:ascii="Calibri" w:hAnsi="Calibri" w:cs="Calibri"/>
        </w:rPr>
        <w:lastRenderedPageBreak/>
        <w:t>Příjemce finanční podpory není oprávněn použít vyrovnávací platbu na jiný účel než na financování závazku veřejné služby dle uzavřené Veřejnoprávní smlouvy, příp. vydaného Rozhodnutí.</w:t>
      </w:r>
    </w:p>
    <w:p w14:paraId="09D121F7" w14:textId="6FDA8ABD" w:rsidR="00475554" w:rsidRDefault="00157B87" w:rsidP="440ABA4D">
      <w:pPr>
        <w:pStyle w:val="Odstavecseseznamem"/>
        <w:numPr>
          <w:ilvl w:val="0"/>
          <w:numId w:val="31"/>
        </w:numPr>
        <w:autoSpaceDE w:val="0"/>
        <w:autoSpaceDN w:val="0"/>
        <w:adjustRightInd w:val="0"/>
        <w:spacing w:before="120" w:after="120"/>
        <w:jc w:val="both"/>
      </w:pPr>
      <w:r>
        <w:t>Poskytovatel sociálních služeb je povinen věcně příslušnému odboru Krajského úřadu Zlínského kraje předložit Rozpočet sociální služby ve formě a struktuře stanovené tímto věcně příslušným odborem (tj. část Náklady a Výnosy – ekonomické ukazatele – náklady a výnosy sociální služby dle zdrojů v souladu s účetní legislativou; část Sady – výkonové ukazatele sociální služby za sledované období příslušného kalendářního roku), a to v termínu do 30. června, následně jeho změny v termínu do </w:t>
      </w:r>
      <w:r w:rsidR="181905B2">
        <w:t>31. října</w:t>
      </w:r>
      <w:r>
        <w:t xml:space="preserve"> roku, na který byla finanční podpora poskytnuta.</w:t>
      </w:r>
    </w:p>
    <w:p w14:paraId="3710A6A5" w14:textId="77777777" w:rsidR="00475554" w:rsidRDefault="00157B87">
      <w:pPr>
        <w:pStyle w:val="Odstavecseseznamem"/>
        <w:autoSpaceDE w:val="0"/>
        <w:autoSpaceDN w:val="0"/>
        <w:adjustRightInd w:val="0"/>
        <w:spacing w:before="120" w:after="120"/>
        <w:contextualSpacing w:val="0"/>
        <w:jc w:val="both"/>
      </w:pPr>
      <w:r>
        <w:t>V případě individuálních projektů spolufinancovaných z Operačního programu Zaměstnanost</w:t>
      </w:r>
      <w:r w:rsidR="00EE49FE">
        <w:t xml:space="preserve"> plus</w:t>
      </w:r>
      <w:r>
        <w:t xml:space="preserve">, případně dalších individuálních projektů spolufinancovaných z fondů EU, mohou být stanoveny další termíny, s vazbou na poskytovatele finančních prostředků (řídící orgán). </w:t>
      </w:r>
    </w:p>
    <w:p w14:paraId="14D5E9D7" w14:textId="77777777" w:rsidR="00475554" w:rsidRDefault="00157B87">
      <w:pPr>
        <w:pStyle w:val="Odstavecseseznamem"/>
        <w:numPr>
          <w:ilvl w:val="0"/>
          <w:numId w:val="31"/>
        </w:numPr>
        <w:autoSpaceDE w:val="0"/>
        <w:autoSpaceDN w:val="0"/>
        <w:adjustRightInd w:val="0"/>
        <w:spacing w:before="120" w:after="120"/>
        <w:contextualSpacing w:val="0"/>
        <w:jc w:val="both"/>
        <w:rPr>
          <w:rFonts w:ascii="Calibri" w:hAnsi="Calibri" w:cs="Calibri"/>
        </w:rPr>
      </w:pPr>
      <w:r>
        <w:rPr>
          <w:rFonts w:ascii="Calibri" w:hAnsi="Calibri" w:cs="Calibri"/>
        </w:rPr>
        <w:t xml:space="preserve">Příjemce finanční podpory předkládá písemné vyúčtování skutečností a využití vyrovnávací platby na veřejné služby a dokládá, zda mu nebyla poskytnuta nadměrná vyrovnávací platba. </w:t>
      </w:r>
    </w:p>
    <w:p w14:paraId="6D788976" w14:textId="77777777" w:rsidR="00475554" w:rsidRDefault="00157B87">
      <w:pPr>
        <w:pStyle w:val="Odstavecseseznamem"/>
        <w:numPr>
          <w:ilvl w:val="0"/>
          <w:numId w:val="31"/>
        </w:numPr>
        <w:autoSpaceDE w:val="0"/>
        <w:autoSpaceDN w:val="0"/>
        <w:adjustRightInd w:val="0"/>
        <w:spacing w:before="120" w:after="120"/>
        <w:contextualSpacing w:val="0"/>
        <w:jc w:val="both"/>
        <w:rPr>
          <w:rFonts w:ascii="Calibri" w:hAnsi="Calibri" w:cs="Calibri"/>
          <w:color w:val="000000"/>
        </w:rPr>
      </w:pPr>
      <w:r>
        <w:rPr>
          <w:rFonts w:ascii="Calibri" w:hAnsi="Calibri" w:cs="Calibri"/>
          <w:color w:val="000000"/>
        </w:rPr>
        <w:t>Poskytovatel sociálních služeb je v rámci vyúčtování povinen vyčíslit případný přeplatek vyplývající z poskytnutých záloh finanční podpory a tento vrátit na určený účet Zlínského kraje.</w:t>
      </w:r>
    </w:p>
    <w:p w14:paraId="443E6216" w14:textId="77777777" w:rsidR="00475554" w:rsidRDefault="00475554">
      <w:pPr>
        <w:autoSpaceDE w:val="0"/>
        <w:autoSpaceDN w:val="0"/>
        <w:adjustRightInd w:val="0"/>
        <w:spacing w:before="120" w:after="120"/>
        <w:jc w:val="both"/>
        <w:rPr>
          <w:rFonts w:ascii="Calibri" w:hAnsi="Calibri" w:cs="Calibri"/>
          <w:color w:val="000000"/>
        </w:rPr>
      </w:pPr>
    </w:p>
    <w:p w14:paraId="2845C753" w14:textId="77777777" w:rsidR="00475554" w:rsidRDefault="00157B87">
      <w:pPr>
        <w:pStyle w:val="Nadpis2"/>
        <w:spacing w:before="120" w:after="120"/>
        <w:ind w:left="709" w:hanging="709"/>
        <w:jc w:val="both"/>
        <w:rPr>
          <w:rFonts w:ascii="Calibri" w:hAnsi="Calibri"/>
          <w:sz w:val="28"/>
          <w:szCs w:val="28"/>
        </w:rPr>
      </w:pPr>
      <w:bookmarkStart w:id="223" w:name="_Toc230777938"/>
      <w:r>
        <w:rPr>
          <w:rFonts w:ascii="Calibri" w:hAnsi="Calibri"/>
          <w:sz w:val="28"/>
          <w:szCs w:val="28"/>
        </w:rPr>
        <w:t>Provádění kontroly</w:t>
      </w:r>
      <w:bookmarkEnd w:id="223"/>
    </w:p>
    <w:p w14:paraId="17FC931F" w14:textId="77777777" w:rsidR="00475554" w:rsidRDefault="00475554">
      <w:pPr>
        <w:autoSpaceDE w:val="0"/>
        <w:autoSpaceDN w:val="0"/>
        <w:adjustRightInd w:val="0"/>
        <w:spacing w:before="120" w:after="120"/>
        <w:jc w:val="both"/>
        <w:rPr>
          <w:rFonts w:ascii="Calibri" w:hAnsi="Calibri" w:cs="Calibri"/>
        </w:rPr>
      </w:pPr>
    </w:p>
    <w:p w14:paraId="4FA4C92E" w14:textId="77777777" w:rsidR="00475554" w:rsidRDefault="00157B87">
      <w:pPr>
        <w:pStyle w:val="Odstavecseseznamem"/>
        <w:numPr>
          <w:ilvl w:val="0"/>
          <w:numId w:val="25"/>
        </w:numPr>
        <w:autoSpaceDE w:val="0"/>
        <w:autoSpaceDN w:val="0"/>
        <w:adjustRightInd w:val="0"/>
        <w:spacing w:before="120" w:after="120"/>
        <w:ind w:left="426" w:hanging="426"/>
        <w:contextualSpacing w:val="0"/>
        <w:jc w:val="both"/>
        <w:rPr>
          <w:rFonts w:ascii="Calibri" w:hAnsi="Calibri" w:cs="Calibri"/>
        </w:rPr>
      </w:pPr>
      <w:r>
        <w:rPr>
          <w:rFonts w:cs="Arial"/>
        </w:rPr>
        <w:t>Veřejnosprávní kontrolou se rozumí finanční kontrola skutečností rozhodných pro hospodaření s veřejnými prostředky, a to před jejich poskytnutím, v průběhu jejich použití a následně po jejich použití.</w:t>
      </w:r>
    </w:p>
    <w:p w14:paraId="7FC6B709" w14:textId="77777777" w:rsidR="00475554" w:rsidRDefault="00157B87">
      <w:pPr>
        <w:pStyle w:val="Odstavecseseznamem"/>
        <w:numPr>
          <w:ilvl w:val="0"/>
          <w:numId w:val="25"/>
        </w:numPr>
        <w:autoSpaceDE w:val="0"/>
        <w:autoSpaceDN w:val="0"/>
        <w:adjustRightInd w:val="0"/>
        <w:spacing w:before="120" w:after="120"/>
        <w:ind w:left="426" w:hanging="426"/>
        <w:contextualSpacing w:val="0"/>
        <w:jc w:val="both"/>
        <w:rPr>
          <w:rFonts w:cs="Arial"/>
        </w:rPr>
      </w:pPr>
      <w:r>
        <w:rPr>
          <w:rFonts w:cs="Arial"/>
        </w:rPr>
        <w:t>Z časového hlediska lze tedy rozlišit tři základní druhy kontrol:</w:t>
      </w:r>
    </w:p>
    <w:p w14:paraId="0568BF7F" w14:textId="77777777" w:rsidR="00475554" w:rsidRDefault="00157B87">
      <w:pPr>
        <w:pStyle w:val="Odstavecseseznamem"/>
        <w:numPr>
          <w:ilvl w:val="0"/>
          <w:numId w:val="20"/>
        </w:numPr>
        <w:autoSpaceDE w:val="0"/>
        <w:autoSpaceDN w:val="0"/>
        <w:adjustRightInd w:val="0"/>
        <w:spacing w:before="120" w:after="120"/>
        <w:ind w:left="851" w:hanging="425"/>
        <w:contextualSpacing w:val="0"/>
        <w:jc w:val="both"/>
        <w:rPr>
          <w:rFonts w:cs="Arial"/>
        </w:rPr>
      </w:pPr>
      <w:r>
        <w:rPr>
          <w:rFonts w:cs="Arial"/>
          <w:b/>
        </w:rPr>
        <w:t>Předběžná</w:t>
      </w:r>
      <w:r>
        <w:rPr>
          <w:rFonts w:cs="Arial"/>
        </w:rPr>
        <w:t xml:space="preserve"> – je prováděna pracovníky Krajského úřadu Zlínského kraje před pověřením poskytovatele sociálních služeb k poskytování služeb obecného hospodářského zájmu a uzavřením Veřejnoprávní smlouvy, příp. vydáním Rozhodnutí.</w:t>
      </w:r>
    </w:p>
    <w:p w14:paraId="1E871BEB" w14:textId="77777777" w:rsidR="00475554" w:rsidRDefault="00157B87">
      <w:pPr>
        <w:pStyle w:val="Odstavecseseznamem"/>
        <w:numPr>
          <w:ilvl w:val="0"/>
          <w:numId w:val="20"/>
        </w:numPr>
        <w:autoSpaceDE w:val="0"/>
        <w:autoSpaceDN w:val="0"/>
        <w:adjustRightInd w:val="0"/>
        <w:spacing w:before="120" w:after="120"/>
        <w:ind w:left="851" w:hanging="425"/>
        <w:contextualSpacing w:val="0"/>
        <w:jc w:val="both"/>
        <w:rPr>
          <w:rFonts w:cs="Arial"/>
        </w:rPr>
      </w:pPr>
      <w:r>
        <w:rPr>
          <w:rFonts w:cs="Arial"/>
          <w:b/>
        </w:rPr>
        <w:t xml:space="preserve">Průběžná </w:t>
      </w:r>
      <w:r>
        <w:rPr>
          <w:rFonts w:cs="Arial"/>
        </w:rPr>
        <w:t xml:space="preserve">– je prováděna pracovníky Krajského úřadu Zlínského kraje v průběhu období trvání Veřejnoprávní smlouvy, příp. Rozhodnutí, až do doby vyúčtování finanční podpory a jejího vypořádání. Je zaměřena na kontrolu naplňování podmínek uzavřené Veřejnoprávní smlouvy, příp. vydaného Rozhodnutí, kterými jsou zejména povinnosti poskytovatele sociálních služeb průběžně informovat o změnách, které mají vliv na realizaci Veřejnoprávní smlouvy, příp. Rozhodnutí a vyúčtovat ve formě a struktuře stanovené věcně příslušným odborem Krajského úřadu Zlínského kraje a vrátit případný přeplatek na určený účet Zlínského kraje. Tato kontrola může být prováděna jako: </w:t>
      </w:r>
    </w:p>
    <w:p w14:paraId="4046C35D" w14:textId="77777777" w:rsidR="00475554" w:rsidRDefault="00157B87">
      <w:pPr>
        <w:pStyle w:val="Odstavecseseznamem"/>
        <w:numPr>
          <w:ilvl w:val="1"/>
          <w:numId w:val="20"/>
        </w:numPr>
        <w:autoSpaceDE w:val="0"/>
        <w:autoSpaceDN w:val="0"/>
        <w:adjustRightInd w:val="0"/>
        <w:spacing w:before="120" w:after="120"/>
        <w:ind w:left="1276" w:hanging="425"/>
        <w:contextualSpacing w:val="0"/>
        <w:jc w:val="both"/>
        <w:rPr>
          <w:rFonts w:cs="Arial"/>
        </w:rPr>
      </w:pPr>
      <w:r>
        <w:rPr>
          <w:rFonts w:cs="Arial"/>
          <w:i/>
        </w:rPr>
        <w:t>Administrativní kontrola</w:t>
      </w:r>
      <w:r>
        <w:rPr>
          <w:rFonts w:cs="Arial"/>
        </w:rPr>
        <w:t xml:space="preserve"> – poskytovatel sociálních služeb je povinen zpracovat a předložit požadované informace za jednotlivé služby obecného hospodářského zájmu způsobem a v termínech stanovených příslušnými procesními postupy.</w:t>
      </w:r>
    </w:p>
    <w:p w14:paraId="75C19B14" w14:textId="77777777" w:rsidR="00475554" w:rsidRDefault="00157B87">
      <w:pPr>
        <w:pStyle w:val="Odstavecseseznamem"/>
        <w:numPr>
          <w:ilvl w:val="1"/>
          <w:numId w:val="20"/>
        </w:numPr>
        <w:autoSpaceDE w:val="0"/>
        <w:autoSpaceDN w:val="0"/>
        <w:adjustRightInd w:val="0"/>
        <w:spacing w:before="120" w:after="120"/>
        <w:ind w:left="1276" w:hanging="425"/>
        <w:contextualSpacing w:val="0"/>
        <w:jc w:val="both"/>
        <w:rPr>
          <w:rFonts w:cs="Arial"/>
        </w:rPr>
      </w:pPr>
      <w:r>
        <w:rPr>
          <w:rFonts w:cs="Arial"/>
          <w:i/>
        </w:rPr>
        <w:t>Kontrola na místě</w:t>
      </w:r>
      <w:r>
        <w:rPr>
          <w:rFonts w:cs="Arial"/>
        </w:rPr>
        <w:t xml:space="preserve"> – je zaměřena na kontrolu plnění podmínek uzavřené Veřejnoprávní smlouvy, příp. vydaného Rozhodnutí. Kontrola je zaměřena jak na finanční část, tak na věcnou část.</w:t>
      </w:r>
    </w:p>
    <w:p w14:paraId="1F67355F" w14:textId="77777777" w:rsidR="00475554" w:rsidRDefault="00157B87">
      <w:pPr>
        <w:pStyle w:val="Odstavecseseznamem"/>
        <w:autoSpaceDE w:val="0"/>
        <w:autoSpaceDN w:val="0"/>
        <w:adjustRightInd w:val="0"/>
        <w:spacing w:before="120" w:after="120"/>
        <w:ind w:left="1276"/>
        <w:contextualSpacing w:val="0"/>
        <w:jc w:val="both"/>
        <w:rPr>
          <w:rFonts w:cs="Arial"/>
        </w:rPr>
      </w:pPr>
      <w:r>
        <w:rPr>
          <w:rFonts w:cs="Arial"/>
        </w:rPr>
        <w:lastRenderedPageBreak/>
        <w:t>V rámci finanční části je kontrolováno zejména čerpání finanční podpory vzhledem k uznatelným nákladům, a zda v případě sociální služby, na kterou byla finanční podpora poskytnuta, nedošlo k nadměrnému financování (nepřiměřený zisk).</w:t>
      </w:r>
    </w:p>
    <w:p w14:paraId="55772E97" w14:textId="77777777" w:rsidR="00475554" w:rsidRDefault="00157B87">
      <w:pPr>
        <w:pStyle w:val="Odstavecseseznamem"/>
        <w:autoSpaceDE w:val="0"/>
        <w:autoSpaceDN w:val="0"/>
        <w:adjustRightInd w:val="0"/>
        <w:spacing w:before="120" w:after="120"/>
        <w:ind w:left="1276"/>
        <w:contextualSpacing w:val="0"/>
        <w:jc w:val="both"/>
        <w:rPr>
          <w:rFonts w:cs="Arial"/>
        </w:rPr>
      </w:pPr>
      <w:r>
        <w:rPr>
          <w:rFonts w:cs="Arial"/>
        </w:rPr>
        <w:t>V případě věcné části bude kontrolováno poskytování sociální služby v souladu s uzavřenou Veřejnoprávní smlouvou, příp. vydaným Rozhodnutím a povinnosti stanovené poskytovateli sociálních služeb uzavřenou Veřejnoprávní smlouvou, příp. vydaným Rozhodnutím (evidence a vykazování indikátorů sociální služby).</w:t>
      </w:r>
    </w:p>
    <w:p w14:paraId="58432FB8" w14:textId="4A9C8C3C" w:rsidR="00475554" w:rsidRDefault="00157B87">
      <w:pPr>
        <w:autoSpaceDE w:val="0"/>
        <w:autoSpaceDN w:val="0"/>
        <w:adjustRightInd w:val="0"/>
        <w:spacing w:before="120" w:after="120"/>
        <w:ind w:left="1276"/>
        <w:jc w:val="both"/>
        <w:rPr>
          <w:rFonts w:cs="Arial"/>
          <w:highlight w:val="green"/>
        </w:rPr>
      </w:pPr>
      <w:r>
        <w:rPr>
          <w:rFonts w:cs="Arial"/>
        </w:rPr>
        <w:t xml:space="preserve">Porovnává </w:t>
      </w:r>
      <w:r w:rsidR="008C362A">
        <w:rPr>
          <w:rFonts w:cs="Arial"/>
        </w:rPr>
        <w:t xml:space="preserve">se </w:t>
      </w:r>
      <w:r>
        <w:rPr>
          <w:rFonts w:cs="Arial"/>
        </w:rPr>
        <w:t>skutečný stav se stavem deklarovaným, přičemž kontrola obsahuje i kontrolu dokladů (poskytovatel sociálních služeb je povinen předložit průkazné účetní záznamy a další originální písemnosti apod.).</w:t>
      </w:r>
    </w:p>
    <w:p w14:paraId="248A9005" w14:textId="77777777" w:rsidR="00475554" w:rsidRDefault="00157B87">
      <w:pPr>
        <w:pStyle w:val="Odstavecseseznamem"/>
        <w:numPr>
          <w:ilvl w:val="0"/>
          <w:numId w:val="20"/>
        </w:numPr>
        <w:autoSpaceDE w:val="0"/>
        <w:autoSpaceDN w:val="0"/>
        <w:adjustRightInd w:val="0"/>
        <w:spacing w:before="120" w:after="120"/>
        <w:ind w:left="851" w:hanging="425"/>
        <w:contextualSpacing w:val="0"/>
        <w:jc w:val="both"/>
        <w:rPr>
          <w:rFonts w:cs="Arial"/>
        </w:rPr>
      </w:pPr>
      <w:r>
        <w:rPr>
          <w:rFonts w:cs="Arial"/>
          <w:b/>
        </w:rPr>
        <w:t>Následná</w:t>
      </w:r>
      <w:r>
        <w:rPr>
          <w:rFonts w:cs="Arial"/>
        </w:rPr>
        <w:t xml:space="preserve"> – je prováděna pracovníky Krajského úřadu Zlínského kraje po vyúčtování finanční podpory a jejího vypořádání. Následná kontrola je prováděna jako:</w:t>
      </w:r>
    </w:p>
    <w:p w14:paraId="72C3D20D" w14:textId="77777777" w:rsidR="00475554" w:rsidRDefault="00157B87">
      <w:pPr>
        <w:pStyle w:val="Odstavecseseznamem"/>
        <w:numPr>
          <w:ilvl w:val="0"/>
          <w:numId w:val="21"/>
        </w:numPr>
        <w:autoSpaceDE w:val="0"/>
        <w:autoSpaceDN w:val="0"/>
        <w:adjustRightInd w:val="0"/>
        <w:spacing w:before="120" w:after="120"/>
        <w:ind w:left="1276" w:hanging="425"/>
        <w:contextualSpacing w:val="0"/>
        <w:jc w:val="both"/>
        <w:rPr>
          <w:rFonts w:cs="Arial"/>
        </w:rPr>
      </w:pPr>
      <w:r>
        <w:rPr>
          <w:rFonts w:cs="Arial"/>
          <w:i/>
        </w:rPr>
        <w:t>Administrativní kontrola</w:t>
      </w:r>
      <w:r>
        <w:rPr>
          <w:rFonts w:cs="Arial"/>
        </w:rPr>
        <w:t xml:space="preserve"> – poskytovatel sociálních služeb je povinen zpracovat a předložit požadované informace za jednotlivé služby obecného hospodářského zájmu Krajskému úřadu Zlínského kraje ve stanoveném termínu následujícího roku po roce, na který byla finanční podpora poskytnuta, a to ve formě a struktuře stanovené věcně příslušným odborem Krajského úřadu Zlínského kraje.</w:t>
      </w:r>
    </w:p>
    <w:p w14:paraId="5D5E2C70" w14:textId="77777777" w:rsidR="00475554" w:rsidRDefault="00157B87">
      <w:pPr>
        <w:pStyle w:val="Odstavecseseznamem"/>
        <w:autoSpaceDE w:val="0"/>
        <w:autoSpaceDN w:val="0"/>
        <w:adjustRightInd w:val="0"/>
        <w:spacing w:before="120" w:after="120"/>
        <w:ind w:left="1276"/>
        <w:contextualSpacing w:val="0"/>
        <w:jc w:val="both"/>
        <w:rPr>
          <w:rFonts w:cs="Arial"/>
        </w:rPr>
      </w:pPr>
      <w:r>
        <w:rPr>
          <w:rFonts w:cs="Arial"/>
        </w:rPr>
        <w:t>Administrativní kontrola je mimo jiné zaměřena na kontrolu případného nepřiměřeného zisku poskytovatele sociálních služeb, a to celkově za všechny služby obecného hospodářského zájmu.</w:t>
      </w:r>
    </w:p>
    <w:p w14:paraId="00DBBE4D" w14:textId="77777777" w:rsidR="00475554" w:rsidRDefault="00157B87">
      <w:pPr>
        <w:pStyle w:val="Odstavecseseznamem"/>
        <w:numPr>
          <w:ilvl w:val="0"/>
          <w:numId w:val="21"/>
        </w:numPr>
        <w:autoSpaceDE w:val="0"/>
        <w:autoSpaceDN w:val="0"/>
        <w:adjustRightInd w:val="0"/>
        <w:spacing w:before="120" w:after="120"/>
        <w:ind w:left="1276" w:hanging="425"/>
        <w:contextualSpacing w:val="0"/>
        <w:jc w:val="both"/>
        <w:rPr>
          <w:rFonts w:cs="Arial"/>
        </w:rPr>
      </w:pPr>
      <w:r>
        <w:rPr>
          <w:rFonts w:cs="Arial"/>
          <w:i/>
        </w:rPr>
        <w:t>Kontrola na místě</w:t>
      </w:r>
      <w:r>
        <w:rPr>
          <w:rFonts w:cs="Arial"/>
          <w:b/>
        </w:rPr>
        <w:t xml:space="preserve"> </w:t>
      </w:r>
      <w:r>
        <w:rPr>
          <w:rFonts w:cs="Arial"/>
        </w:rPr>
        <w:t>– je zaměřena na kontrolu plnění podmínek uzavřené Veřejnoprávní smlouvy, příp. vydaného Rozhodnutí. Kontrola je zaměřena jak na finanční část, tak na věcnou část.</w:t>
      </w:r>
    </w:p>
    <w:p w14:paraId="09203BE2" w14:textId="77777777" w:rsidR="00475554" w:rsidRDefault="00157B87">
      <w:pPr>
        <w:pStyle w:val="Odstavecseseznamem"/>
        <w:autoSpaceDE w:val="0"/>
        <w:autoSpaceDN w:val="0"/>
        <w:adjustRightInd w:val="0"/>
        <w:spacing w:before="120" w:after="120"/>
        <w:ind w:left="1276"/>
        <w:contextualSpacing w:val="0"/>
        <w:jc w:val="both"/>
        <w:rPr>
          <w:rFonts w:cs="Arial"/>
        </w:rPr>
      </w:pPr>
      <w:r>
        <w:rPr>
          <w:rFonts w:cs="Arial"/>
        </w:rPr>
        <w:t>V rámci finanční části je kontrolováno zejména čerpání finanční podpory vzhledem k uznatelným nákladům, a zda v případě sociální služby, na kterou byla finanční podpora poskytnuta, nedošlo k nadměrnému financování (nepřiměřený zisk).</w:t>
      </w:r>
    </w:p>
    <w:p w14:paraId="34A61183" w14:textId="77777777" w:rsidR="00475554" w:rsidRDefault="00157B87">
      <w:pPr>
        <w:pStyle w:val="Odstavecseseznamem"/>
        <w:autoSpaceDE w:val="0"/>
        <w:autoSpaceDN w:val="0"/>
        <w:adjustRightInd w:val="0"/>
        <w:spacing w:before="120" w:after="120"/>
        <w:ind w:left="1276"/>
        <w:contextualSpacing w:val="0"/>
        <w:jc w:val="both"/>
        <w:rPr>
          <w:rFonts w:cs="Arial"/>
        </w:rPr>
      </w:pPr>
      <w:r>
        <w:rPr>
          <w:rFonts w:cs="Arial"/>
        </w:rPr>
        <w:t>V případě věcné části je kontrolováno poskytování sociální služby v souladu s uzavřenou Veřejnoprávní smlouvou, příp. vydaným Rozhodnutím a povinnosti stanovené poskytovateli sociálních služeb uzavřenou Veřejnoprávní smlouvou, příp. vydaným Rozhodnutím (evidence a vykazování indikátorů sociální služby).</w:t>
      </w:r>
    </w:p>
    <w:p w14:paraId="61FAADB6" w14:textId="27A4EB79" w:rsidR="00475554" w:rsidRDefault="00157B87">
      <w:pPr>
        <w:pStyle w:val="Odstavecseseznamem"/>
        <w:autoSpaceDE w:val="0"/>
        <w:autoSpaceDN w:val="0"/>
        <w:adjustRightInd w:val="0"/>
        <w:spacing w:before="120" w:after="120"/>
        <w:ind w:left="1276"/>
        <w:contextualSpacing w:val="0"/>
        <w:jc w:val="both"/>
        <w:rPr>
          <w:rFonts w:cs="Arial"/>
        </w:rPr>
      </w:pPr>
      <w:r>
        <w:rPr>
          <w:rFonts w:cs="Arial"/>
        </w:rPr>
        <w:t xml:space="preserve">Porovnává </w:t>
      </w:r>
      <w:r w:rsidR="008C362A">
        <w:rPr>
          <w:rFonts w:cs="Arial"/>
        </w:rPr>
        <w:t xml:space="preserve">se </w:t>
      </w:r>
      <w:r>
        <w:rPr>
          <w:rFonts w:cs="Arial"/>
        </w:rPr>
        <w:t>skutečný stav se stavem deklarovaným, přičemž kontrola obsahuje i kontrolu dokladů (poskytovatel sociálních služeb je povinen předložit průkazné účetní záznamy a další originální písemnosti apod.).</w:t>
      </w:r>
    </w:p>
    <w:p w14:paraId="68E6FC83" w14:textId="77777777" w:rsidR="00475554" w:rsidRDefault="00157B87">
      <w:pPr>
        <w:autoSpaceDE w:val="0"/>
        <w:autoSpaceDN w:val="0"/>
        <w:adjustRightInd w:val="0"/>
        <w:spacing w:before="120" w:after="120"/>
        <w:ind w:left="1276"/>
        <w:jc w:val="both"/>
      </w:pPr>
      <w:r>
        <w:t>Kontrola je prováděna v minimálním objemu 5 % podpořených sociálních služeb.</w:t>
      </w:r>
    </w:p>
    <w:p w14:paraId="12152E92" w14:textId="77777777" w:rsidR="00E15706" w:rsidRDefault="00E15706">
      <w:pPr>
        <w:autoSpaceDE w:val="0"/>
        <w:autoSpaceDN w:val="0"/>
        <w:adjustRightInd w:val="0"/>
        <w:spacing w:before="120" w:after="120"/>
        <w:ind w:left="1276"/>
        <w:jc w:val="both"/>
      </w:pPr>
    </w:p>
    <w:p w14:paraId="00722A93" w14:textId="77777777" w:rsidR="00475554" w:rsidRDefault="00157B87">
      <w:pPr>
        <w:pStyle w:val="Nadpis2"/>
        <w:spacing w:before="120" w:after="120"/>
        <w:ind w:left="709" w:hanging="709"/>
        <w:jc w:val="both"/>
        <w:rPr>
          <w:rFonts w:ascii="Calibri" w:hAnsi="Calibri"/>
          <w:sz w:val="28"/>
          <w:szCs w:val="28"/>
        </w:rPr>
      </w:pPr>
      <w:bookmarkStart w:id="224" w:name="_Toc230777939"/>
      <w:r>
        <w:rPr>
          <w:rFonts w:ascii="Calibri" w:hAnsi="Calibri"/>
          <w:sz w:val="28"/>
          <w:szCs w:val="28"/>
        </w:rPr>
        <w:t>Provádění kontroly nadměrnosti vyrovnávací platby</w:t>
      </w:r>
      <w:bookmarkEnd w:id="224"/>
      <w:r>
        <w:rPr>
          <w:rFonts w:ascii="Calibri" w:hAnsi="Calibri"/>
          <w:sz w:val="28"/>
          <w:szCs w:val="28"/>
        </w:rPr>
        <w:t xml:space="preserve"> </w:t>
      </w:r>
    </w:p>
    <w:p w14:paraId="36D7FBFB" w14:textId="77777777" w:rsidR="00475554" w:rsidRDefault="00475554">
      <w:pPr>
        <w:autoSpaceDE w:val="0"/>
        <w:autoSpaceDN w:val="0"/>
        <w:adjustRightInd w:val="0"/>
        <w:spacing w:before="120" w:after="120"/>
        <w:jc w:val="both"/>
        <w:rPr>
          <w:rFonts w:ascii="Calibri" w:hAnsi="Calibri" w:cs="Calibri"/>
        </w:rPr>
      </w:pPr>
    </w:p>
    <w:p w14:paraId="16EA96F7" w14:textId="77777777" w:rsidR="00475554" w:rsidRDefault="00157B87">
      <w:pPr>
        <w:pStyle w:val="Normlnweb"/>
        <w:spacing w:before="120" w:beforeAutospacing="0" w:after="120" w:afterAutospacing="0" w:line="276" w:lineRule="auto"/>
        <w:jc w:val="both"/>
        <w:rPr>
          <w:rFonts w:asciiTheme="minorHAnsi" w:hAnsiTheme="minorHAnsi" w:cs="Arial"/>
          <w:color w:val="231F20"/>
          <w:sz w:val="22"/>
          <w:szCs w:val="22"/>
        </w:rPr>
      </w:pPr>
      <w:r>
        <w:rPr>
          <w:rFonts w:asciiTheme="minorHAnsi" w:hAnsiTheme="minorHAnsi" w:cs="Arial"/>
          <w:color w:val="231F20"/>
          <w:sz w:val="22"/>
          <w:szCs w:val="22"/>
        </w:rPr>
        <w:t xml:space="preserve">Výpočet maximální vyrovnávací platby je prováděn za sociální služby, kterými je poskytovatel sociálních služeb pověřen v rozsahu závazku veřejné služby, v rozsahu parametrů Základní sítě nebo Dočasné sítě. V průběhu roku je poskytovatel sociálních služeb povinen vést odděleně účetnictví v členění na jednotlivé </w:t>
      </w:r>
      <w:r>
        <w:rPr>
          <w:rFonts w:asciiTheme="minorHAnsi" w:hAnsiTheme="minorHAnsi" w:cs="Arial"/>
          <w:color w:val="231F20"/>
          <w:sz w:val="22"/>
          <w:szCs w:val="22"/>
        </w:rPr>
        <w:lastRenderedPageBreak/>
        <w:t>sociální služby v rozsahu daném Pověřením k poskytování služeb obecného hospodářského zájmu (potažmo v rozsahu zařazeném do Základní sítě nebo Dočasné sítě) od jiných činností poskytovatele sociálních služeb.</w:t>
      </w:r>
    </w:p>
    <w:p w14:paraId="40AE4B4F" w14:textId="77777777" w:rsidR="00475554" w:rsidRDefault="00157B87">
      <w:pPr>
        <w:pStyle w:val="Normlnweb"/>
        <w:spacing w:before="120" w:beforeAutospacing="0" w:after="120" w:afterAutospacing="0" w:line="276" w:lineRule="auto"/>
        <w:jc w:val="both"/>
        <w:rPr>
          <w:rFonts w:asciiTheme="minorHAnsi" w:hAnsiTheme="minorHAnsi" w:cs="Arial"/>
          <w:color w:val="231F20"/>
          <w:sz w:val="22"/>
          <w:szCs w:val="22"/>
        </w:rPr>
      </w:pPr>
      <w:r>
        <w:rPr>
          <w:rFonts w:asciiTheme="minorHAnsi" w:hAnsiTheme="minorHAnsi" w:cs="Arial"/>
          <w:color w:val="231F20"/>
          <w:sz w:val="22"/>
          <w:szCs w:val="22"/>
        </w:rPr>
        <w:t>S maximální výší vyrovnávací platby jsou po ukončení dotačního roku porovnávány skutečně obdržené zdroje (výnosy) a skutečné náklady sociální služby, jejímž poskytováním byl poskytovatel sociálních služeb pověřen v rozsahu závazku veřejné služby.</w:t>
      </w:r>
    </w:p>
    <w:p w14:paraId="798BFDC5" w14:textId="77777777" w:rsidR="00475554" w:rsidRDefault="00475554">
      <w:pPr>
        <w:pStyle w:val="Normlnweb"/>
        <w:spacing w:before="120" w:beforeAutospacing="0" w:after="120" w:afterAutospacing="0" w:line="276" w:lineRule="auto"/>
        <w:jc w:val="both"/>
        <w:rPr>
          <w:rFonts w:asciiTheme="minorHAnsi" w:hAnsiTheme="minorHAnsi" w:cs="Arial"/>
          <w:color w:val="231F20"/>
          <w:sz w:val="22"/>
          <w:szCs w:val="22"/>
        </w:rPr>
      </w:pPr>
    </w:p>
    <w:p w14:paraId="0A937A3C" w14:textId="77777777" w:rsidR="00475554" w:rsidRDefault="00157B87">
      <w:pPr>
        <w:pStyle w:val="Normlnweb"/>
        <w:spacing w:before="120" w:beforeAutospacing="0" w:after="240" w:afterAutospacing="0" w:line="276" w:lineRule="auto"/>
        <w:jc w:val="both"/>
        <w:rPr>
          <w:rFonts w:asciiTheme="minorHAnsi" w:hAnsiTheme="minorHAnsi" w:cs="Arial"/>
          <w:color w:val="231F20"/>
          <w:sz w:val="22"/>
          <w:szCs w:val="22"/>
        </w:rPr>
      </w:pPr>
      <w:r>
        <w:rPr>
          <w:rFonts w:asciiTheme="minorHAnsi" w:hAnsiTheme="minorHAnsi" w:cs="Arial"/>
          <w:color w:val="231F20"/>
          <w:sz w:val="22"/>
          <w:szCs w:val="22"/>
        </w:rPr>
        <w:t>Rozdíl mezi skutečnými uznatelnými náklady a výnosy (zdroji) jednotlivých sociálních služeb může být:</w:t>
      </w:r>
    </w:p>
    <w:p w14:paraId="56C51973" w14:textId="77777777" w:rsidR="00475554" w:rsidRDefault="00157B87">
      <w:pPr>
        <w:numPr>
          <w:ilvl w:val="0"/>
          <w:numId w:val="22"/>
        </w:numPr>
        <w:tabs>
          <w:tab w:val="clear" w:pos="720"/>
          <w:tab w:val="num" w:pos="426"/>
        </w:tabs>
        <w:spacing w:before="120" w:after="120"/>
        <w:ind w:left="426" w:hanging="426"/>
        <w:jc w:val="both"/>
        <w:textAlignment w:val="top"/>
        <w:rPr>
          <w:rFonts w:cs="Arial"/>
          <w:color w:val="231F20"/>
        </w:rPr>
      </w:pPr>
      <w:r>
        <w:rPr>
          <w:rFonts w:cs="Arial"/>
          <w:b/>
          <w:color w:val="231F20"/>
        </w:rPr>
        <w:t>Nulový</w:t>
      </w:r>
      <w:r>
        <w:rPr>
          <w:rFonts w:cs="Arial"/>
          <w:color w:val="231F20"/>
        </w:rPr>
        <w:t xml:space="preserve"> – skutečné náklady související s poskytováním sociální služby jsou ve stejné výši jako skutečné výnosy (zdroje) sociální služby, nejedná se o nadměrnou vyrovnávací platbu.</w:t>
      </w:r>
    </w:p>
    <w:p w14:paraId="626E3FD2" w14:textId="77777777" w:rsidR="00475554" w:rsidRDefault="00157B87">
      <w:pPr>
        <w:numPr>
          <w:ilvl w:val="0"/>
          <w:numId w:val="22"/>
        </w:numPr>
        <w:tabs>
          <w:tab w:val="clear" w:pos="720"/>
          <w:tab w:val="num" w:pos="426"/>
        </w:tabs>
        <w:spacing w:before="120" w:after="120"/>
        <w:ind w:left="426" w:hanging="426"/>
        <w:jc w:val="both"/>
        <w:textAlignment w:val="top"/>
        <w:rPr>
          <w:rFonts w:cs="Arial"/>
          <w:color w:val="231F20"/>
        </w:rPr>
      </w:pPr>
      <w:r>
        <w:rPr>
          <w:rFonts w:cs="Arial"/>
          <w:b/>
          <w:color w:val="231F20"/>
        </w:rPr>
        <w:t>Záporný</w:t>
      </w:r>
      <w:r>
        <w:rPr>
          <w:rFonts w:cs="Arial"/>
          <w:color w:val="231F20"/>
        </w:rPr>
        <w:t xml:space="preserve"> – skutečné náklady související s poskytováním sociální služby jsou vyšší než skutečné výnosy (zdroje) sociální služby, nejedná se o nadměrnou vyrovnávací platbu.</w:t>
      </w:r>
    </w:p>
    <w:p w14:paraId="3A933C79" w14:textId="77777777" w:rsidR="00475554" w:rsidRDefault="00157B87">
      <w:pPr>
        <w:numPr>
          <w:ilvl w:val="0"/>
          <w:numId w:val="22"/>
        </w:numPr>
        <w:tabs>
          <w:tab w:val="clear" w:pos="720"/>
          <w:tab w:val="num" w:pos="426"/>
        </w:tabs>
        <w:spacing w:before="120" w:after="120"/>
        <w:ind w:left="426" w:hanging="426"/>
        <w:jc w:val="both"/>
        <w:textAlignment w:val="top"/>
        <w:rPr>
          <w:rFonts w:cs="Arial"/>
          <w:color w:val="231F20"/>
        </w:rPr>
      </w:pPr>
      <w:r>
        <w:rPr>
          <w:rFonts w:cs="Arial"/>
          <w:b/>
          <w:color w:val="231F20"/>
        </w:rPr>
        <w:t>Kladný</w:t>
      </w:r>
      <w:r>
        <w:rPr>
          <w:rFonts w:cs="Arial"/>
          <w:color w:val="231F20"/>
        </w:rPr>
        <w:t xml:space="preserve"> (eventuálně nad stanovenou výší přiměřeného zisku</w:t>
      </w:r>
      <w:r>
        <w:rPr>
          <w:rStyle w:val="Znakapoznpodarou"/>
          <w:rFonts w:cs="Arial"/>
          <w:color w:val="231F20"/>
        </w:rPr>
        <w:footnoteReference w:id="6"/>
      </w:r>
      <w:r>
        <w:rPr>
          <w:rFonts w:cs="Arial"/>
          <w:color w:val="231F20"/>
        </w:rPr>
        <w:t>) – skutečné náklady související s poskytováním sociální služby jsou nižší než skutečné výnosy (zdroje) sociální služby, může se jednat o nadměrnou vyrovnávací platbu.</w:t>
      </w:r>
    </w:p>
    <w:p w14:paraId="3D83B7FD" w14:textId="77777777" w:rsidR="00475554" w:rsidRDefault="00475554">
      <w:pPr>
        <w:spacing w:before="120" w:after="120"/>
        <w:jc w:val="both"/>
        <w:textAlignment w:val="top"/>
        <w:rPr>
          <w:rFonts w:cs="Arial"/>
          <w:color w:val="231F20"/>
        </w:rPr>
      </w:pPr>
    </w:p>
    <w:p w14:paraId="01362A13" w14:textId="0A6F98D9" w:rsidR="00475554" w:rsidRDefault="00157B87">
      <w:pPr>
        <w:pStyle w:val="Normlnweb"/>
        <w:spacing w:before="120" w:beforeAutospacing="0" w:after="120" w:afterAutospacing="0" w:line="276" w:lineRule="auto"/>
        <w:jc w:val="both"/>
        <w:rPr>
          <w:rFonts w:asciiTheme="minorHAnsi" w:hAnsiTheme="minorHAnsi" w:cstheme="minorBidi"/>
          <w:color w:val="231F20"/>
          <w:sz w:val="22"/>
          <w:szCs w:val="22"/>
        </w:rPr>
      </w:pPr>
      <w:r>
        <w:rPr>
          <w:rFonts w:asciiTheme="minorHAnsi" w:hAnsiTheme="minorHAnsi" w:cs="Arial"/>
          <w:color w:val="231F20"/>
          <w:sz w:val="22"/>
          <w:szCs w:val="22"/>
        </w:rPr>
        <w:t xml:space="preserve">Rozdíly mezi skutečnými uznatelnými náklady a výnosy (zdroji) jednotlivých sociálních služeb jsou následně posuzovány </w:t>
      </w:r>
      <w:r w:rsidRPr="440ABA4D">
        <w:rPr>
          <w:rFonts w:asciiTheme="minorHAnsi" w:hAnsiTheme="minorHAnsi" w:cstheme="minorBidi"/>
          <w:color w:val="231F20"/>
          <w:sz w:val="22"/>
          <w:szCs w:val="22"/>
        </w:rPr>
        <w:t xml:space="preserve">společně v rámci jednoho pověřovacího aktu </w:t>
      </w:r>
      <w:r w:rsidR="00516234" w:rsidRPr="440ABA4D">
        <w:rPr>
          <w:rFonts w:asciiTheme="minorHAnsi" w:hAnsiTheme="minorHAnsi" w:cstheme="minorBidi"/>
          <w:color w:val="231F20"/>
          <w:sz w:val="22"/>
          <w:szCs w:val="22"/>
        </w:rPr>
        <w:t>vydaného O</w:t>
      </w:r>
      <w:r w:rsidR="00576DC2" w:rsidRPr="440ABA4D">
        <w:rPr>
          <w:rFonts w:asciiTheme="minorHAnsi" w:hAnsiTheme="minorHAnsi" w:cstheme="minorBidi"/>
          <w:color w:val="231F20"/>
          <w:sz w:val="22"/>
          <w:szCs w:val="22"/>
        </w:rPr>
        <w:t xml:space="preserve">dborem sociálních věcí </w:t>
      </w:r>
      <w:r w:rsidRPr="440ABA4D">
        <w:rPr>
          <w:rFonts w:asciiTheme="minorHAnsi" w:hAnsiTheme="minorHAnsi" w:cstheme="minorBidi"/>
          <w:color w:val="231F20"/>
          <w:sz w:val="22"/>
          <w:szCs w:val="22"/>
        </w:rPr>
        <w:t>(za jednoho poskytovatele sociálních služeb</w:t>
      </w:r>
      <w:r w:rsidR="2940F722" w:rsidRPr="440ABA4D">
        <w:rPr>
          <w:rFonts w:asciiTheme="minorHAnsi" w:hAnsiTheme="minorHAnsi" w:cstheme="minorBidi"/>
          <w:color w:val="231F20"/>
          <w:sz w:val="22"/>
          <w:szCs w:val="22"/>
        </w:rPr>
        <w:t>)</w:t>
      </w:r>
      <w:r w:rsidR="06FCEB61" w:rsidRPr="440ABA4D">
        <w:rPr>
          <w:rFonts w:asciiTheme="minorHAnsi" w:hAnsiTheme="minorHAnsi" w:cstheme="minorBidi"/>
          <w:color w:val="231F20"/>
          <w:sz w:val="22"/>
          <w:szCs w:val="22"/>
        </w:rPr>
        <w:t xml:space="preserve"> </w:t>
      </w:r>
      <w:r w:rsidR="06FCEB61" w:rsidRPr="440ABA4D">
        <w:rPr>
          <w:rFonts w:ascii="Calibri" w:eastAsia="Calibri" w:hAnsi="Calibri" w:cs="Calibri"/>
          <w:color w:val="231F20"/>
          <w:sz w:val="22"/>
          <w:szCs w:val="22"/>
        </w:rPr>
        <w:t>v souladu s uzavřenými Veřejnoprávními smlouvami, resp. vydanými Rozhodnutími</w:t>
      </w:r>
      <w:r w:rsidR="2940F722" w:rsidRPr="440ABA4D">
        <w:rPr>
          <w:rFonts w:asciiTheme="minorHAnsi" w:hAnsiTheme="minorHAnsi" w:cstheme="minorBidi"/>
          <w:color w:val="231F20"/>
          <w:sz w:val="22"/>
          <w:szCs w:val="22"/>
        </w:rPr>
        <w:t>.</w:t>
      </w:r>
      <w:r w:rsidR="00576DC2" w:rsidRPr="440ABA4D">
        <w:rPr>
          <w:rFonts w:asciiTheme="minorHAnsi" w:hAnsiTheme="minorHAnsi" w:cstheme="minorBidi"/>
          <w:color w:val="231F20"/>
          <w:sz w:val="22"/>
          <w:szCs w:val="22"/>
        </w:rPr>
        <w:t xml:space="preserve"> V případě služeb </w:t>
      </w:r>
      <w:r w:rsidR="007D1AC5" w:rsidRPr="440ABA4D">
        <w:rPr>
          <w:rFonts w:asciiTheme="minorHAnsi" w:hAnsiTheme="minorHAnsi" w:cstheme="minorBidi"/>
          <w:color w:val="231F20"/>
          <w:sz w:val="22"/>
          <w:szCs w:val="22"/>
        </w:rPr>
        <w:t>podpořených</w:t>
      </w:r>
      <w:r w:rsidR="00576DC2" w:rsidRPr="440ABA4D">
        <w:rPr>
          <w:rFonts w:asciiTheme="minorHAnsi" w:hAnsiTheme="minorHAnsi" w:cstheme="minorBidi"/>
          <w:color w:val="231F20"/>
          <w:sz w:val="22"/>
          <w:szCs w:val="22"/>
        </w:rPr>
        <w:t xml:space="preserve"> v rámci Individuálního projektu nál</w:t>
      </w:r>
      <w:r w:rsidR="00516234" w:rsidRPr="440ABA4D">
        <w:rPr>
          <w:rFonts w:asciiTheme="minorHAnsi" w:hAnsiTheme="minorHAnsi" w:cstheme="minorBidi"/>
          <w:color w:val="231F20"/>
          <w:sz w:val="22"/>
          <w:szCs w:val="22"/>
        </w:rPr>
        <w:t>eží kontrola přiměřeného zisku O</w:t>
      </w:r>
      <w:r w:rsidR="00576DC2" w:rsidRPr="440ABA4D">
        <w:rPr>
          <w:rFonts w:asciiTheme="minorHAnsi" w:hAnsiTheme="minorHAnsi" w:cstheme="minorBidi"/>
          <w:color w:val="231F20"/>
          <w:sz w:val="22"/>
          <w:szCs w:val="22"/>
        </w:rPr>
        <w:t xml:space="preserve">dboru řízení dotačních </w:t>
      </w:r>
      <w:r w:rsidR="00516234" w:rsidRPr="440ABA4D">
        <w:rPr>
          <w:rFonts w:asciiTheme="minorHAnsi" w:hAnsiTheme="minorHAnsi" w:cstheme="minorBidi"/>
          <w:color w:val="231F20"/>
          <w:sz w:val="22"/>
          <w:szCs w:val="22"/>
        </w:rPr>
        <w:t>projektů</w:t>
      </w:r>
      <w:r w:rsidR="00576DC2" w:rsidRPr="440ABA4D">
        <w:rPr>
          <w:rFonts w:asciiTheme="minorHAnsi" w:hAnsiTheme="minorHAnsi" w:cstheme="minorBidi"/>
          <w:color w:val="231F20"/>
          <w:sz w:val="22"/>
          <w:szCs w:val="22"/>
        </w:rPr>
        <w:t xml:space="preserve">. </w:t>
      </w:r>
      <w:r w:rsidR="00030873" w:rsidRPr="440ABA4D">
        <w:rPr>
          <w:rFonts w:asciiTheme="minorHAnsi" w:hAnsiTheme="minorHAnsi" w:cstheme="minorBidi"/>
          <w:color w:val="231F20"/>
          <w:sz w:val="22"/>
          <w:szCs w:val="22"/>
        </w:rPr>
        <w:t xml:space="preserve">Obecně platí princip, že </w:t>
      </w:r>
      <w:r w:rsidR="00F63B7D" w:rsidRPr="440ABA4D">
        <w:rPr>
          <w:rFonts w:asciiTheme="minorHAnsi" w:hAnsiTheme="minorHAnsi" w:cstheme="minorBidi"/>
          <w:color w:val="231F20"/>
          <w:sz w:val="22"/>
          <w:szCs w:val="22"/>
        </w:rPr>
        <w:t xml:space="preserve">k posouzení nadměrné vyrovnávací platby je oprávněn </w:t>
      </w:r>
      <w:r w:rsidR="009016C2" w:rsidRPr="440ABA4D">
        <w:rPr>
          <w:rFonts w:asciiTheme="minorHAnsi" w:hAnsiTheme="minorHAnsi" w:cstheme="minorBidi"/>
          <w:color w:val="231F20"/>
          <w:sz w:val="22"/>
          <w:szCs w:val="22"/>
        </w:rPr>
        <w:t>veřejný zadavatel</w:t>
      </w:r>
      <w:r w:rsidR="00030873" w:rsidRPr="440ABA4D">
        <w:rPr>
          <w:rFonts w:asciiTheme="minorHAnsi" w:hAnsiTheme="minorHAnsi" w:cstheme="minorBidi"/>
          <w:color w:val="231F20"/>
          <w:sz w:val="22"/>
          <w:szCs w:val="22"/>
        </w:rPr>
        <w:t xml:space="preserve">, který </w:t>
      </w:r>
      <w:r w:rsidR="00F63B7D" w:rsidRPr="440ABA4D">
        <w:rPr>
          <w:rFonts w:asciiTheme="minorHAnsi" w:hAnsiTheme="minorHAnsi" w:cstheme="minorBidi"/>
          <w:color w:val="231F20"/>
          <w:sz w:val="22"/>
          <w:szCs w:val="22"/>
        </w:rPr>
        <w:t>vydává pověřovací akt na</w:t>
      </w:r>
      <w:r w:rsidR="00030873" w:rsidRPr="440ABA4D">
        <w:rPr>
          <w:rFonts w:asciiTheme="minorHAnsi" w:hAnsiTheme="minorHAnsi" w:cstheme="minorBidi"/>
          <w:color w:val="231F20"/>
          <w:sz w:val="22"/>
          <w:szCs w:val="22"/>
        </w:rPr>
        <w:t xml:space="preserve"> dané kapacity sociálních služeb</w:t>
      </w:r>
      <w:r w:rsidR="009016C2" w:rsidRPr="440ABA4D">
        <w:rPr>
          <w:rFonts w:asciiTheme="minorHAnsi" w:hAnsiTheme="minorHAnsi" w:cstheme="minorBidi"/>
          <w:color w:val="231F20"/>
          <w:sz w:val="22"/>
          <w:szCs w:val="22"/>
        </w:rPr>
        <w:t xml:space="preserve"> a v rozsahu tohoto pověření je také odpovědný za kontrolu a nastavení mechanismů vyrovnání v případě překompenzace veřejnými zdroji. </w:t>
      </w:r>
    </w:p>
    <w:p w14:paraId="15F8C11E" w14:textId="5A274C54" w:rsidR="00475554" w:rsidRDefault="00157B87">
      <w:pPr>
        <w:pStyle w:val="Normlnweb"/>
        <w:spacing w:before="120" w:beforeAutospacing="0" w:after="120" w:afterAutospacing="0" w:line="276" w:lineRule="auto"/>
        <w:jc w:val="both"/>
        <w:rPr>
          <w:rFonts w:asciiTheme="minorHAnsi" w:hAnsiTheme="minorHAnsi" w:cs="Arial"/>
          <w:color w:val="231F20"/>
          <w:sz w:val="22"/>
          <w:szCs w:val="22"/>
        </w:rPr>
      </w:pPr>
      <w:r>
        <w:rPr>
          <w:rFonts w:asciiTheme="minorHAnsi" w:hAnsiTheme="minorHAnsi" w:cstheme="minorHAnsi"/>
          <w:color w:val="231F20"/>
          <w:sz w:val="22"/>
          <w:szCs w:val="22"/>
        </w:rPr>
        <w:t>V případě, že výsledek hospodaření pověřených sociálních služeb je kladný (eventuálně nad stanovenou výší přiměřeného zisku</w:t>
      </w:r>
      <w:r>
        <w:rPr>
          <w:rStyle w:val="Znakapoznpodarou"/>
          <w:rFonts w:asciiTheme="minorHAnsi" w:hAnsiTheme="minorHAnsi" w:cstheme="minorHAnsi"/>
          <w:color w:val="231F20"/>
          <w:sz w:val="22"/>
          <w:szCs w:val="22"/>
        </w:rPr>
        <w:footnoteReference w:id="7"/>
      </w:r>
      <w:r>
        <w:rPr>
          <w:rFonts w:asciiTheme="minorHAnsi" w:hAnsiTheme="minorHAnsi" w:cstheme="minorHAnsi"/>
          <w:color w:val="231F20"/>
          <w:sz w:val="22"/>
          <w:szCs w:val="22"/>
        </w:rPr>
        <w:t xml:space="preserve">), jedná se o nadměrnou vyrovnávací platbu a poskytovatel sociálních služeb je povinen </w:t>
      </w:r>
      <w:r w:rsidR="00602032">
        <w:rPr>
          <w:rFonts w:asciiTheme="minorHAnsi" w:hAnsiTheme="minorHAnsi" w:cstheme="minorHAnsi"/>
          <w:color w:val="231F20"/>
          <w:sz w:val="22"/>
          <w:szCs w:val="22"/>
        </w:rPr>
        <w:t xml:space="preserve">tento </w:t>
      </w:r>
      <w:r>
        <w:rPr>
          <w:rFonts w:asciiTheme="minorHAnsi" w:hAnsiTheme="minorHAnsi" w:cstheme="minorHAnsi"/>
          <w:color w:val="231F20"/>
          <w:sz w:val="22"/>
          <w:szCs w:val="22"/>
        </w:rPr>
        <w:t xml:space="preserve">rozdíl vrátit zpět na příslušný účet </w:t>
      </w:r>
      <w:r>
        <w:rPr>
          <w:rFonts w:asciiTheme="minorHAnsi" w:hAnsiTheme="minorHAnsi" w:cs="Arial"/>
          <w:color w:val="231F20"/>
          <w:sz w:val="22"/>
          <w:szCs w:val="22"/>
        </w:rPr>
        <w:t>Zlínského kraje.</w:t>
      </w:r>
    </w:p>
    <w:p w14:paraId="3578DAA9" w14:textId="55684AFF" w:rsidR="783096DC" w:rsidRDefault="00157B87" w:rsidP="0056124C">
      <w:pPr>
        <w:spacing w:before="120" w:after="120"/>
        <w:jc w:val="both"/>
        <w:rPr>
          <w:rFonts w:ascii="Calibri" w:eastAsia="Calibri" w:hAnsi="Calibri" w:cs="Calibri"/>
        </w:rPr>
      </w:pPr>
      <w:r>
        <w:rPr>
          <w:rFonts w:cs="Arial"/>
          <w:color w:val="231F20"/>
        </w:rPr>
        <w:t>Posouzení nadměrné vyrovnávací platby bude prováděno pracovníky Krajského úřadu Zlínského kraje vždy po ukončení dotačního roku a </w:t>
      </w:r>
      <w:r w:rsidRPr="001A24F5">
        <w:rPr>
          <w:rFonts w:cs="Arial"/>
          <w:color w:val="231F20"/>
        </w:rPr>
        <w:t>po provedení účetní závěrky</w:t>
      </w:r>
      <w:r>
        <w:rPr>
          <w:rFonts w:cs="Arial"/>
          <w:color w:val="231F20"/>
        </w:rPr>
        <w:t xml:space="preserve"> poskytovatelem sociálních služeb. Poskytovatel sociálních služeb je povinen zaslat podklady pro posouzení vyrovnávací platby </w:t>
      </w:r>
      <w:r w:rsidR="783096DC" w:rsidRPr="440ABA4D">
        <w:rPr>
          <w:rFonts w:ascii="Calibri" w:eastAsia="Calibri" w:hAnsi="Calibri" w:cs="Calibri"/>
          <w:color w:val="231F20"/>
        </w:rPr>
        <w:t>prostřednictvím webové aplikace KISSoS, menu Rozpočet a vyúčtování a menu Výkazy.</w:t>
      </w:r>
    </w:p>
    <w:p w14:paraId="364AC8E7" w14:textId="77777777" w:rsidR="001F45F6" w:rsidRDefault="001F45F6">
      <w:pPr>
        <w:rPr>
          <w:rFonts w:eastAsiaTheme="majorEastAsia" w:cstheme="majorBidi"/>
          <w:b/>
          <w:bCs/>
          <w:color w:val="365F91" w:themeColor="accent1" w:themeShade="BF"/>
          <w:sz w:val="32"/>
          <w:szCs w:val="32"/>
        </w:rPr>
      </w:pPr>
      <w:bookmarkStart w:id="225" w:name="_Toc386625250"/>
      <w:bookmarkStart w:id="226" w:name="_Toc386625394"/>
      <w:bookmarkStart w:id="227" w:name="_Toc385925816"/>
      <w:bookmarkStart w:id="228" w:name="_Toc385925817"/>
      <w:bookmarkStart w:id="229" w:name="_Toc385925818"/>
      <w:bookmarkStart w:id="230" w:name="_Toc385925819"/>
      <w:bookmarkStart w:id="231" w:name="_Toc385925827"/>
      <w:bookmarkStart w:id="232" w:name="_Toc385925828"/>
      <w:bookmarkStart w:id="233" w:name="_Toc385925829"/>
      <w:bookmarkStart w:id="234" w:name="_Toc385925830"/>
      <w:bookmarkStart w:id="235" w:name="_Toc385925831"/>
      <w:bookmarkStart w:id="236" w:name="_Toc385925832"/>
      <w:bookmarkEnd w:id="225"/>
      <w:bookmarkEnd w:id="226"/>
      <w:bookmarkEnd w:id="227"/>
      <w:bookmarkEnd w:id="228"/>
      <w:bookmarkEnd w:id="229"/>
      <w:bookmarkEnd w:id="230"/>
      <w:bookmarkEnd w:id="231"/>
      <w:bookmarkEnd w:id="232"/>
      <w:bookmarkEnd w:id="233"/>
      <w:bookmarkEnd w:id="234"/>
      <w:bookmarkEnd w:id="235"/>
      <w:bookmarkEnd w:id="236"/>
      <w:r>
        <w:rPr>
          <w:sz w:val="32"/>
          <w:szCs w:val="32"/>
        </w:rPr>
        <w:br w:type="page"/>
      </w:r>
    </w:p>
    <w:p w14:paraId="4A217FC2" w14:textId="45B7C69A" w:rsidR="00475554" w:rsidRDefault="00157B87">
      <w:pPr>
        <w:pStyle w:val="Nadpis1"/>
        <w:spacing w:before="120" w:after="120"/>
        <w:ind w:left="709" w:hanging="709"/>
        <w:jc w:val="both"/>
        <w:rPr>
          <w:rFonts w:asciiTheme="minorHAnsi" w:hAnsiTheme="minorHAnsi"/>
          <w:sz w:val="32"/>
          <w:szCs w:val="32"/>
        </w:rPr>
      </w:pPr>
      <w:bookmarkStart w:id="237" w:name="_Toc230777940"/>
      <w:r>
        <w:rPr>
          <w:rFonts w:asciiTheme="minorHAnsi" w:hAnsiTheme="minorHAnsi"/>
          <w:sz w:val="32"/>
          <w:szCs w:val="32"/>
        </w:rPr>
        <w:lastRenderedPageBreak/>
        <w:t>Závěrečná ustanovení</w:t>
      </w:r>
      <w:bookmarkEnd w:id="237"/>
    </w:p>
    <w:p w14:paraId="022F1DDB" w14:textId="77777777" w:rsidR="00475554" w:rsidRDefault="00475554">
      <w:pPr>
        <w:autoSpaceDE w:val="0"/>
        <w:autoSpaceDN w:val="0"/>
        <w:adjustRightInd w:val="0"/>
        <w:spacing w:before="120" w:after="120"/>
        <w:jc w:val="both"/>
        <w:rPr>
          <w:rFonts w:ascii="Calibri" w:hAnsi="Calibri"/>
        </w:rPr>
      </w:pPr>
    </w:p>
    <w:p w14:paraId="64990F02" w14:textId="6964B29E" w:rsidR="00475554" w:rsidRDefault="00157B87">
      <w:pPr>
        <w:pStyle w:val="Odstavecseseznamem"/>
        <w:autoSpaceDE w:val="0"/>
        <w:autoSpaceDN w:val="0"/>
        <w:adjustRightInd w:val="0"/>
        <w:spacing w:before="120" w:after="120"/>
        <w:ind w:left="0"/>
        <w:contextualSpacing w:val="0"/>
        <w:jc w:val="both"/>
      </w:pPr>
      <w:r>
        <w:t xml:space="preserve">Tyto Podmínky jsou účinné pro </w:t>
      </w:r>
      <w:r w:rsidRPr="0B0510C0">
        <w:rPr>
          <w:b/>
          <w:bCs/>
        </w:rPr>
        <w:t>Programy</w:t>
      </w:r>
      <w:r>
        <w:t xml:space="preserve"> vyhlašované Zlínským krajem a schvalované Radou Zlínského kraje na financování sociálních služeb z prostředků dotace poskytnuté MPSV kraji, z vlastních finančních prostředků, z dotace poskytnuté v rámci individuálních projektů spolufinancovaných z Operačního programu Zaměstnanost</w:t>
      </w:r>
      <w:r w:rsidR="00EE49FE">
        <w:t xml:space="preserve"> plus</w:t>
      </w:r>
      <w:r>
        <w:t xml:space="preserve">, případně z dalších individuálních projektů spolufinancovaných z fondů EU, případně z jiných veřejných zdrojů, a to na období roku </w:t>
      </w:r>
      <w:r w:rsidR="008C616A">
        <w:t>202</w:t>
      </w:r>
      <w:r w:rsidR="7EC865E6">
        <w:t>7</w:t>
      </w:r>
      <w:r>
        <w:t>.</w:t>
      </w:r>
    </w:p>
    <w:p w14:paraId="5EE19F43" w14:textId="77777777" w:rsidR="00475554" w:rsidRDefault="00475554">
      <w:pPr>
        <w:autoSpaceDE w:val="0"/>
        <w:autoSpaceDN w:val="0"/>
        <w:adjustRightInd w:val="0"/>
        <w:spacing w:before="120" w:after="120"/>
        <w:jc w:val="both"/>
      </w:pPr>
    </w:p>
    <w:p w14:paraId="10A7AE86" w14:textId="77777777" w:rsidR="00475554" w:rsidRDefault="00157B87">
      <w:pPr>
        <w:jc w:val="both"/>
      </w:pPr>
      <w:r>
        <w:br w:type="page"/>
      </w:r>
    </w:p>
    <w:p w14:paraId="0BDF14B6" w14:textId="77777777" w:rsidR="00475554" w:rsidRDefault="00157B87">
      <w:pPr>
        <w:pStyle w:val="Nadpis1"/>
        <w:spacing w:before="120" w:after="120"/>
        <w:ind w:left="709" w:hanging="709"/>
        <w:jc w:val="both"/>
        <w:rPr>
          <w:rFonts w:asciiTheme="minorHAnsi" w:hAnsiTheme="minorHAnsi"/>
          <w:sz w:val="32"/>
          <w:szCs w:val="32"/>
        </w:rPr>
      </w:pPr>
      <w:bookmarkStart w:id="238" w:name="_Toc230777941"/>
      <w:r>
        <w:rPr>
          <w:rFonts w:asciiTheme="minorHAnsi" w:hAnsiTheme="minorHAnsi"/>
          <w:sz w:val="32"/>
          <w:szCs w:val="32"/>
        </w:rPr>
        <w:lastRenderedPageBreak/>
        <w:t>Seznam použitých pojmů</w:t>
      </w:r>
      <w:bookmarkEnd w:id="238"/>
    </w:p>
    <w:p w14:paraId="082A4F48" w14:textId="77777777" w:rsidR="00475554" w:rsidRDefault="00475554">
      <w:pPr>
        <w:spacing w:before="120" w:after="120"/>
        <w:jc w:val="both"/>
      </w:pPr>
    </w:p>
    <w:p w14:paraId="5A30235E" w14:textId="28C393F7" w:rsidR="00475554" w:rsidRDefault="00157B87">
      <w:pPr>
        <w:spacing w:before="120" w:after="240"/>
        <w:ind w:left="2832" w:hanging="2832"/>
        <w:jc w:val="both"/>
        <w:rPr>
          <w:color w:val="000000" w:themeColor="text1"/>
        </w:rPr>
      </w:pPr>
      <w:r>
        <w:rPr>
          <w:rFonts w:ascii="Calibri" w:eastAsia="Times New Roman" w:hAnsi="Calibri" w:cs="Times New Roman"/>
          <w:b/>
          <w:bCs/>
          <w:color w:val="000000"/>
          <w:lang w:eastAsia="cs-CZ"/>
        </w:rPr>
        <w:t>Dotace</w:t>
      </w:r>
      <w:r>
        <w:rPr>
          <w:rFonts w:ascii="Calibri" w:eastAsia="Times New Roman" w:hAnsi="Calibri" w:cs="Times New Roman"/>
          <w:b/>
          <w:bCs/>
          <w:color w:val="000000"/>
          <w:lang w:eastAsia="cs-CZ"/>
        </w:rPr>
        <w:tab/>
      </w:r>
      <w:r>
        <w:rPr>
          <w:rFonts w:cs="Arial"/>
        </w:rPr>
        <w:t xml:space="preserve">Finanční podpora na sociální služby poskytovaná těm poskytovatelům sociálních služeb, kteří nejsou příspěvkovými organizacemi zřízenými Zlínským krajem. Jedná se o formu poskytnutí finančních prostředků poskytovateli sociální služby, která vychází ze </w:t>
      </w:r>
      <w:r>
        <w:rPr>
          <w:color w:val="000000" w:themeColor="text1"/>
        </w:rPr>
        <w:t xml:space="preserve">zákona </w:t>
      </w:r>
      <w:r w:rsidR="0036662B">
        <w:rPr>
          <w:color w:val="000000" w:themeColor="text1"/>
        </w:rPr>
        <w:t>č. 250/2000 Sb</w:t>
      </w:r>
      <w:r>
        <w:rPr>
          <w:color w:val="000000" w:themeColor="text1"/>
        </w:rPr>
        <w:t>.</w:t>
      </w:r>
    </w:p>
    <w:p w14:paraId="03C9BF6B" w14:textId="153E0818" w:rsidR="00475554" w:rsidRDefault="00157B87">
      <w:pPr>
        <w:spacing w:before="120" w:after="240"/>
        <w:ind w:left="2835" w:hanging="2835"/>
        <w:jc w:val="both"/>
      </w:pPr>
      <w:r>
        <w:rPr>
          <w:b/>
        </w:rPr>
        <w:t>Dočasná síť</w:t>
      </w:r>
      <w:r>
        <w:t xml:space="preserve"> </w:t>
      </w:r>
      <w:r>
        <w:tab/>
      </w:r>
      <w:r>
        <w:rPr>
          <w:color w:val="000000" w:themeColor="text1"/>
        </w:rPr>
        <w:t xml:space="preserve">Síť sociálních </w:t>
      </w:r>
      <w:r w:rsidRPr="00F635D4">
        <w:rPr>
          <w:color w:val="000000" w:themeColor="text1"/>
        </w:rPr>
        <w:t xml:space="preserve">služeb, </w:t>
      </w:r>
      <w:r w:rsidR="00AB57CF" w:rsidRPr="00F635D4">
        <w:t>která je přílohou č. 3 Akčního plánu pro daný rok a je</w:t>
      </w:r>
      <w:r w:rsidR="00AB57CF" w:rsidRPr="00F635D4">
        <w:rPr>
          <w:color w:val="000000" w:themeColor="text1"/>
        </w:rPr>
        <w:t xml:space="preserve"> </w:t>
      </w:r>
      <w:r w:rsidRPr="00F635D4">
        <w:rPr>
          <w:color w:val="000000" w:themeColor="text1"/>
        </w:rPr>
        <w:t>tvořena novými</w:t>
      </w:r>
      <w:r>
        <w:rPr>
          <w:color w:val="000000" w:themeColor="text1"/>
        </w:rPr>
        <w:t xml:space="preserve"> sociálními službami nebo rozšířenými kapacitami stávajících sociálních služeb nad rámec kapacit stanovených v Základní síti. Hlavním smyslem Dočasné sítě je zejména pilotní ověření potřebnosti, efektivity a/nebo nastavení sociálních služeb. Dočasná síť je na základě realizace neinvestičních projektů hrazena z finančních prostředků Evropské unie nebo </w:t>
      </w:r>
      <w:r w:rsidR="00CA5463">
        <w:rPr>
          <w:color w:val="000000" w:themeColor="text1"/>
        </w:rPr>
        <w:t xml:space="preserve">je </w:t>
      </w:r>
      <w:r>
        <w:rPr>
          <w:color w:val="000000" w:themeColor="text1"/>
        </w:rPr>
        <w:t xml:space="preserve">zajištěno financování </w:t>
      </w:r>
      <w:r w:rsidR="00CA5463">
        <w:rPr>
          <w:color w:val="000000" w:themeColor="text1"/>
        </w:rPr>
        <w:t xml:space="preserve">služeb </w:t>
      </w:r>
      <w:r>
        <w:rPr>
          <w:color w:val="000000" w:themeColor="text1"/>
        </w:rPr>
        <w:t xml:space="preserve">z jiných veřejných zdrojů garantovaným veřejným zadavatelem včetně státního rozpočtu, rozpočtů ÚSC atd. Jedná se také například o programy podpory z Evropského sociálního fondu, v rámci Koordinovaného přístupu k sociálně vyloučeným lokalitám za místní podpory Agentury pro sociální začleňování, v rámci strategií Komunitně vedeného místního rozvoje </w:t>
      </w:r>
      <w:r>
        <w:t xml:space="preserve">Místních Akčních Skupin apod. Zdrojem financování mohou být i časově omezené vlastní </w:t>
      </w:r>
      <w:r>
        <w:rPr>
          <w:spacing w:val="-4"/>
        </w:rPr>
        <w:t>prostředky kraje, rozdělované prostřednictvím Programů pro poskytování</w:t>
      </w:r>
      <w:r>
        <w:t xml:space="preserve"> finanční podpory z rozpočtu Zlínského kraje, kterými má být řešeno mimořádné a časově omezené téma. Setrvání v Dočasné síti je podmíněno zajištěným zdrojem financování z výše uvedených zdrojů.</w:t>
      </w:r>
      <w:r w:rsidR="001A1658">
        <w:t xml:space="preserve"> </w:t>
      </w:r>
      <w:r w:rsidR="001A1658" w:rsidRPr="006A1004">
        <w:rPr>
          <w:highlight w:val="yellow"/>
        </w:rPr>
        <w:t>Dočasná síť je nástrojem pro časově omezené pověření sociálních služeb dle zdroje financování či přechodné potřeby.</w:t>
      </w:r>
      <w:r w:rsidR="001A1658">
        <w:t xml:space="preserve"> </w:t>
      </w:r>
    </w:p>
    <w:p w14:paraId="6DC11F6B" w14:textId="7210216D" w:rsidR="00475554" w:rsidRDefault="00157B87">
      <w:pPr>
        <w:spacing w:before="120" w:after="240"/>
        <w:ind w:left="2832" w:hanging="2832"/>
        <w:jc w:val="both"/>
        <w:rPr>
          <w:rFonts w:ascii="Calibri" w:eastAsia="Times New Roman" w:hAnsi="Calibri" w:cs="Times New Roman"/>
          <w:bCs/>
          <w:color w:val="000000"/>
          <w:lang w:eastAsia="cs-CZ"/>
        </w:rPr>
      </w:pPr>
      <w:r>
        <w:rPr>
          <w:rFonts w:ascii="Calibri" w:eastAsia="Times New Roman" w:hAnsi="Calibri" w:cs="Times New Roman"/>
          <w:b/>
          <w:bCs/>
          <w:color w:val="000000"/>
          <w:lang w:eastAsia="cs-CZ"/>
        </w:rPr>
        <w:t>Druh sociální služby</w:t>
      </w:r>
      <w:r>
        <w:rPr>
          <w:rFonts w:ascii="Calibri" w:eastAsia="Times New Roman" w:hAnsi="Calibri" w:cs="Times New Roman"/>
          <w:b/>
          <w:bCs/>
          <w:color w:val="000000"/>
          <w:lang w:eastAsia="cs-CZ"/>
        </w:rPr>
        <w:tab/>
      </w:r>
      <w:r>
        <w:rPr>
          <w:rFonts w:ascii="Calibri" w:eastAsia="Times New Roman" w:hAnsi="Calibri" w:cs="Times New Roman"/>
          <w:color w:val="000000"/>
          <w:lang w:eastAsia="cs-CZ"/>
        </w:rPr>
        <w:t xml:space="preserve">Druh sociální služby je vymezen zákonem </w:t>
      </w:r>
      <w:r w:rsidR="0036662B">
        <w:t>č. 108/2006 Sb</w:t>
      </w:r>
      <w:r>
        <w:rPr>
          <w:color w:val="000000" w:themeColor="text1"/>
        </w:rPr>
        <w:t>.</w:t>
      </w:r>
    </w:p>
    <w:p w14:paraId="24DF4AE0" w14:textId="0DE23931" w:rsidR="00475554" w:rsidRDefault="00157B87">
      <w:pPr>
        <w:spacing w:before="120" w:after="240"/>
        <w:ind w:left="2832" w:hanging="2832"/>
        <w:jc w:val="both"/>
      </w:pPr>
      <w:r w:rsidRPr="0B0510C0">
        <w:rPr>
          <w:rFonts w:ascii="Calibri" w:eastAsia="Times New Roman" w:hAnsi="Calibri" w:cs="Times New Roman"/>
          <w:b/>
          <w:bCs/>
          <w:color w:val="000000" w:themeColor="text1"/>
          <w:lang w:eastAsia="cs-CZ"/>
        </w:rPr>
        <w:t>Finanční podpora</w:t>
      </w:r>
      <w:r>
        <w:tab/>
      </w:r>
      <w:r w:rsidRPr="0B0510C0">
        <w:rPr>
          <w:rFonts w:cs="Arial"/>
        </w:rPr>
        <w:t xml:space="preserve">Finanční prostředky pro sociální služby stanovené jednotným, transparentním a nediskriminujícím způsobem výpočtu v souladu s „Rozhodnutím komise </w:t>
      </w:r>
      <w:r w:rsidR="73B662FA" w:rsidRPr="00FD0CDC">
        <w:rPr>
          <w:rFonts w:cs="Arial"/>
          <w:highlight w:val="yellow"/>
        </w:rPr>
        <w:t>(EU) 2025/2630 ze dne 16. prosince 2025</w:t>
      </w:r>
      <w:r w:rsidR="73B662FA" w:rsidRPr="0B0510C0">
        <w:rPr>
          <w:rFonts w:cs="Arial"/>
        </w:rPr>
        <w:t xml:space="preserve"> </w:t>
      </w:r>
      <w:r w:rsidRPr="0B0510C0">
        <w:rPr>
          <w:rFonts w:cs="Arial"/>
        </w:rPr>
        <w:t xml:space="preserve"> o použití čl. 106 odst. 2 Smlouvy o fungování Evropské unie na státní podporu ve formě vyrovnávací platby za závazek veřejné služby udělené určitým podnikům pověřeným poskytováním služeb obecného hospodářského zájmu</w:t>
      </w:r>
      <w:r w:rsidR="00C26BEE">
        <w:rPr>
          <w:rFonts w:cs="Arial"/>
        </w:rPr>
        <w:t xml:space="preserve"> </w:t>
      </w:r>
      <w:r w:rsidR="00C26BEE" w:rsidRPr="00CC5CFE">
        <w:rPr>
          <w:rFonts w:cs="Arial"/>
          <w:highlight w:val="yellow"/>
        </w:rPr>
        <w:t>a o zrušení rozhodnutí 2012/21/EU</w:t>
      </w:r>
      <w:r w:rsidRPr="0B0510C0">
        <w:rPr>
          <w:rFonts w:cs="Arial"/>
        </w:rPr>
        <w:t>“, které mohou být v závislosti na právní formě poskytovatele sociální služby poskytnuty formou dotace nebo příspěvku na provoz.</w:t>
      </w:r>
    </w:p>
    <w:p w14:paraId="254848B8" w14:textId="77777777" w:rsidR="00475554" w:rsidRDefault="00157B87">
      <w:pPr>
        <w:spacing w:before="120" w:after="240"/>
        <w:ind w:left="2832" w:hanging="2832"/>
        <w:jc w:val="both"/>
      </w:pPr>
      <w:r>
        <w:rPr>
          <w:rFonts w:ascii="Calibri" w:eastAsia="Times New Roman" w:hAnsi="Calibri" w:cs="Times New Roman"/>
          <w:b/>
          <w:bCs/>
          <w:color w:val="000000"/>
          <w:lang w:eastAsia="cs-CZ"/>
        </w:rPr>
        <w:t>Identifikátor sociální služby</w:t>
      </w:r>
      <w:r>
        <w:rPr>
          <w:rFonts w:ascii="Calibri" w:eastAsia="Times New Roman" w:hAnsi="Calibri" w:cs="Times New Roman"/>
          <w:b/>
          <w:bCs/>
          <w:color w:val="000000"/>
          <w:lang w:eastAsia="cs-CZ"/>
        </w:rPr>
        <w:tab/>
      </w:r>
      <w:r>
        <w:rPr>
          <w:rFonts w:ascii="Calibri" w:eastAsia="Times New Roman" w:hAnsi="Calibri" w:cs="Times New Roman"/>
          <w:color w:val="000000"/>
          <w:lang w:eastAsia="cs-CZ"/>
        </w:rPr>
        <w:t>Identifikátor sociální služby je jedinečné číselné označení konkrétní sociální služby uvedené v rozhodnutí o registraci, v oznámení o zapsání do registru a v registru poskytovatelů sociálních služeb. Je generováno elektronickou aplikací, jejímž správcem je MPSV.</w:t>
      </w:r>
    </w:p>
    <w:p w14:paraId="611A9069" w14:textId="77777777" w:rsidR="00475554" w:rsidRDefault="00157B87">
      <w:pPr>
        <w:spacing w:before="120" w:after="240"/>
        <w:jc w:val="both"/>
        <w:rPr>
          <w:rFonts w:ascii="Calibri" w:eastAsia="Times New Roman" w:hAnsi="Calibri" w:cs="Times New Roman"/>
          <w:color w:val="000000"/>
          <w:lang w:eastAsia="cs-CZ"/>
        </w:rPr>
      </w:pPr>
      <w:r>
        <w:rPr>
          <w:rFonts w:ascii="Calibri" w:eastAsia="Times New Roman" w:hAnsi="Calibri" w:cs="Times New Roman"/>
          <w:b/>
          <w:bCs/>
          <w:color w:val="000000"/>
          <w:lang w:eastAsia="cs-CZ"/>
        </w:rPr>
        <w:lastRenderedPageBreak/>
        <w:t>Krajský informační systém</w:t>
      </w:r>
      <w:r>
        <w:rPr>
          <w:rFonts w:ascii="Calibri" w:eastAsia="Times New Roman" w:hAnsi="Calibri" w:cs="Times New Roman"/>
          <w:b/>
          <w:bCs/>
          <w:color w:val="000000"/>
          <w:lang w:eastAsia="cs-CZ"/>
        </w:rPr>
        <w:tab/>
      </w:r>
      <w:r>
        <w:rPr>
          <w:rFonts w:ascii="Calibri" w:eastAsia="Times New Roman" w:hAnsi="Calibri" w:cs="Times New Roman"/>
          <w:color w:val="000000"/>
          <w:lang w:eastAsia="cs-CZ"/>
        </w:rPr>
        <w:t>Webová aplikace Zlínského kraje určená k výkaznictví o sociálních</w:t>
      </w:r>
      <w:r>
        <w:rPr>
          <w:rFonts w:ascii="Calibri" w:eastAsia="Times New Roman" w:hAnsi="Calibri" w:cs="Times New Roman"/>
          <w:color w:val="000000"/>
          <w:lang w:eastAsia="cs-CZ"/>
        </w:rPr>
        <w:br/>
      </w:r>
      <w:r>
        <w:rPr>
          <w:rFonts w:ascii="Calibri" w:eastAsia="Times New Roman" w:hAnsi="Calibri" w:cs="Times New Roman"/>
          <w:b/>
          <w:bCs/>
          <w:color w:val="000000"/>
          <w:lang w:eastAsia="cs-CZ"/>
        </w:rPr>
        <w:t>sociálních služeb (KISSoS)</w:t>
      </w:r>
      <w:r>
        <w:rPr>
          <w:rFonts w:ascii="Calibri" w:eastAsia="Times New Roman" w:hAnsi="Calibri" w:cs="Times New Roman"/>
          <w:b/>
          <w:bCs/>
          <w:color w:val="000000"/>
          <w:lang w:eastAsia="cs-CZ"/>
        </w:rPr>
        <w:tab/>
      </w:r>
      <w:r>
        <w:rPr>
          <w:rFonts w:ascii="Calibri" w:eastAsia="Times New Roman" w:hAnsi="Calibri" w:cs="Times New Roman"/>
          <w:color w:val="000000"/>
          <w:lang w:eastAsia="cs-CZ"/>
        </w:rPr>
        <w:t>službách na území Zlínského kraje a poskytující benchmarking služeb</w:t>
      </w:r>
      <w:r>
        <w:rPr>
          <w:rFonts w:ascii="Calibri" w:eastAsia="Times New Roman" w:hAnsi="Calibri" w:cs="Times New Roman"/>
          <w:color w:val="000000"/>
          <w:lang w:eastAsia="cs-CZ"/>
        </w:rPr>
        <w:br/>
        <w:t xml:space="preserve"> </w:t>
      </w:r>
      <w:r>
        <w:rPr>
          <w:rFonts w:ascii="Calibri" w:eastAsia="Times New Roman" w:hAnsi="Calibri" w:cs="Times New Roman"/>
          <w:color w:val="000000"/>
          <w:lang w:eastAsia="cs-CZ"/>
        </w:rPr>
        <w:tab/>
      </w:r>
      <w:r>
        <w:rPr>
          <w:rFonts w:ascii="Calibri" w:eastAsia="Times New Roman" w:hAnsi="Calibri" w:cs="Times New Roman"/>
          <w:color w:val="000000"/>
          <w:lang w:eastAsia="cs-CZ"/>
        </w:rPr>
        <w:tab/>
      </w:r>
      <w:r>
        <w:rPr>
          <w:rFonts w:ascii="Calibri" w:eastAsia="Times New Roman" w:hAnsi="Calibri" w:cs="Times New Roman"/>
          <w:color w:val="000000"/>
          <w:lang w:eastAsia="cs-CZ"/>
        </w:rPr>
        <w:tab/>
      </w:r>
      <w:r>
        <w:rPr>
          <w:rFonts w:ascii="Calibri" w:eastAsia="Times New Roman" w:hAnsi="Calibri" w:cs="Times New Roman"/>
          <w:color w:val="000000"/>
          <w:lang w:eastAsia="cs-CZ"/>
        </w:rPr>
        <w:tab/>
        <w:t>dle definovaných parametrů.</w:t>
      </w:r>
    </w:p>
    <w:p w14:paraId="5322F69E" w14:textId="77777777" w:rsidR="00475554" w:rsidRDefault="00157B87">
      <w:pPr>
        <w:spacing w:before="120" w:after="240"/>
        <w:ind w:left="2835" w:hanging="2835"/>
        <w:jc w:val="both"/>
        <w:rPr>
          <w:rFonts w:ascii="Calibri" w:eastAsia="Times New Roman" w:hAnsi="Calibri" w:cs="Times New Roman"/>
          <w:color w:val="000000"/>
          <w:spacing w:val="-2"/>
          <w:lang w:eastAsia="cs-CZ"/>
        </w:rPr>
      </w:pPr>
      <w:r>
        <w:rPr>
          <w:rFonts w:ascii="Calibri" w:eastAsia="Times New Roman" w:hAnsi="Calibri" w:cs="Times New Roman"/>
          <w:b/>
          <w:bCs/>
          <w:color w:val="000000"/>
          <w:lang w:eastAsia="cs-CZ"/>
        </w:rPr>
        <w:t>Obložnost</w:t>
      </w:r>
      <w:r>
        <w:rPr>
          <w:rFonts w:ascii="Calibri" w:eastAsia="Times New Roman" w:hAnsi="Calibri" w:cs="Times New Roman"/>
          <w:b/>
          <w:bCs/>
          <w:color w:val="000000"/>
          <w:lang w:eastAsia="cs-CZ"/>
        </w:rPr>
        <w:tab/>
      </w:r>
      <w:r>
        <w:rPr>
          <w:rFonts w:ascii="Calibri" w:eastAsia="Times New Roman" w:hAnsi="Calibri" w:cs="Times New Roman"/>
          <w:color w:val="000000"/>
          <w:lang w:eastAsia="cs-CZ"/>
        </w:rPr>
        <w:t xml:space="preserve">Jedná se o podíl součtu všech dnů nebo nocí za sledované období, po které bylo lůžko v zařízení obsazeno, a za které je uživateli účtována </w:t>
      </w:r>
      <w:r>
        <w:rPr>
          <w:rFonts w:ascii="Calibri" w:eastAsia="Times New Roman" w:hAnsi="Calibri" w:cs="Times New Roman"/>
          <w:color w:val="000000"/>
          <w:spacing w:val="-2"/>
          <w:lang w:eastAsia="cs-CZ"/>
        </w:rPr>
        <w:t>úhrada k maximálnímu možnému počtu dnů v daném kalendářním roce.</w:t>
      </w:r>
    </w:p>
    <w:p w14:paraId="7F5BE981" w14:textId="63282EDC" w:rsidR="00475554" w:rsidRDefault="4BB1B8F6">
      <w:pPr>
        <w:spacing w:before="120" w:after="240"/>
        <w:ind w:left="2835" w:hanging="2829"/>
        <w:jc w:val="both"/>
      </w:pPr>
      <w:r>
        <w:rPr>
          <w:rFonts w:ascii="Calibri" w:eastAsia="Times New Roman" w:hAnsi="Calibri" w:cs="Times New Roman"/>
          <w:b/>
          <w:bCs/>
          <w:color w:val="000000"/>
          <w:spacing w:val="-2"/>
          <w:lang w:eastAsia="cs-CZ"/>
        </w:rPr>
        <w:t>Obvyklý náklad</w:t>
      </w:r>
      <w:r w:rsidR="00157B87">
        <w:rPr>
          <w:rFonts w:ascii="Calibri" w:eastAsia="Times New Roman" w:hAnsi="Calibri" w:cs="Times New Roman"/>
          <w:bCs/>
          <w:color w:val="000000"/>
          <w:spacing w:val="-2"/>
          <w:lang w:eastAsia="cs-CZ"/>
        </w:rPr>
        <w:tab/>
      </w:r>
      <w:r w:rsidRPr="3A4FB86E">
        <w:rPr>
          <w:rFonts w:ascii="Calibri" w:eastAsia="Times New Roman" w:hAnsi="Calibri" w:cs="Times New Roman"/>
          <w:color w:val="000000"/>
          <w:spacing w:val="-2"/>
          <w:lang w:eastAsia="cs-CZ"/>
        </w:rPr>
        <w:t>V</w:t>
      </w:r>
      <w:r>
        <w:t xml:space="preserve">ýchodiskem pro stanovení obvyklého nákladu na jednotku sociální služby je skutečný náklad na jednotku sociální služby. Jedná se o náklad, který je hospodárný, účelný a efektivní vzhledem k poskytování základních činností daného druhu sociální služby. Nákladem jsou konkrétní vstupy do podniku (organizace), vyjádřené v Kč, které podnik (organizace) přetváří ve výstupy, a to za sledované období. Výstupem je služba nebo výrobek. Výpočet obvyklých nákladů na jednotku jednotlivých druhů a skupin sociálních služeb je modelován ze skutečných nákladů daných sociálních služeb zařazených do Základní </w:t>
      </w:r>
      <w:r w:rsidR="00395ECC">
        <w:t xml:space="preserve">a Dočasné </w:t>
      </w:r>
      <w:r>
        <w:t>sítě Akčního plánu pro daný rok, které poskytovatelé sociálních služeb vyplňují do webové aplikace KISSoS. Vychází se při tom z analýz dvou kalendářních let předcházejících roku, na který se obvyklý náklad stanovuje. Obvyklý náklad je koncipován jako medián, tzn. „střední hodnota“ z prům</w:t>
      </w:r>
      <w:r w:rsidR="605D8A20">
        <w:t>ě</w:t>
      </w:r>
      <w:r>
        <w:t>ru nákladů 1 (N</w:t>
      </w:r>
      <w:r>
        <w:rPr>
          <w:vertAlign w:val="subscript"/>
        </w:rPr>
        <w:t>1</w:t>
      </w:r>
      <w:r>
        <w:t xml:space="preserve"> = jedná se o průměrnou hodnotu nákladu; je vypočítán z hodnot průměrných nákladů na stanovenou jednotku  jednotlivých služeb v rámci daného druhu sociálních služeb</w:t>
      </w:r>
      <w:r w:rsidR="01511497">
        <w:t xml:space="preserve"> bez mezních hodnot</w:t>
      </w:r>
      <w:r>
        <w:t>), průměru nákladů 2 (N</w:t>
      </w:r>
      <w:r>
        <w:rPr>
          <w:vertAlign w:val="subscript"/>
        </w:rPr>
        <w:t>2</w:t>
      </w:r>
      <w:r>
        <w:t xml:space="preserve"> = jedná se o podíl, v rámci jehož čitatele jsou sečteny náklady všech jednotlivých služeb v rámci daného druhu sociálních služeb a v rámci jmenovatele jsou sečteny všechny hodnoty jednotlivých služeb daného druhu sociálních služeb) a mediánu (M = jedná se o hodnotu, která dělí statistickou řadu podle velikosti seřazených hodnot na dvě stejně </w:t>
      </w:r>
      <w:r>
        <w:rPr>
          <w:spacing w:val="-2"/>
        </w:rPr>
        <w:t>početné poloviny; za statistickou řadu jsou brány hodnoty průměru N</w:t>
      </w:r>
      <w:r>
        <w:rPr>
          <w:spacing w:val="-2"/>
          <w:vertAlign w:val="subscript"/>
        </w:rPr>
        <w:t>1</w:t>
      </w:r>
      <w:r>
        <w:rPr>
          <w:spacing w:val="-2"/>
        </w:rPr>
        <w:t>),</w:t>
      </w:r>
      <w:r>
        <w:t xml:space="preserve"> která se matematicky zaokrouhlí na celé tisíce. </w:t>
      </w:r>
      <w:r w:rsidRPr="3A4FB86E">
        <w:t xml:space="preserve">Základem pro výpočet výše obvyklého nákladu na jednotku je druh sociální služby dle zákona </w:t>
      </w:r>
      <w:r w:rsidR="0036662B">
        <w:t>č. 108/2006 Sb</w:t>
      </w:r>
      <w:r w:rsidRPr="3A4FB86E">
        <w:t xml:space="preserve">. Druh sociální služby dle zákona </w:t>
      </w:r>
      <w:r w:rsidR="0036662B">
        <w:t xml:space="preserve">č. 108/2006 Sb. </w:t>
      </w:r>
      <w:r w:rsidRPr="3A4FB86E">
        <w:t>může být dále definován skupinou sociální služby (u pobytových sociálních služeb může být skupina sociální služby určena cílovou skupinou a/nebo kapacitou sociální služby; u ambulantních a terénních sociálních služeb může být skupina sociální služby určena formou poskytování a/nebo cílovou skupinou sociální služby)</w:t>
      </w:r>
      <w:r>
        <w:t>. Konečná výše obvyklého nákladu může být korigována např. dle metodického doporučení MPSV či mezikrajského srovnání obvyklých nákladů s přihlédnutím na oprávněné požadavky poskytovatelů sociálních služeb.</w:t>
      </w:r>
    </w:p>
    <w:p w14:paraId="0419FF77" w14:textId="77777777" w:rsidR="00475554" w:rsidRDefault="00157B87">
      <w:pPr>
        <w:spacing w:before="120" w:after="240"/>
        <w:ind w:left="2832" w:hanging="2832"/>
        <w:jc w:val="both"/>
      </w:pPr>
      <w:r>
        <w:rPr>
          <w:b/>
        </w:rPr>
        <w:t>Obvyklý výnos</w:t>
      </w:r>
      <w:r>
        <w:rPr>
          <w:b/>
        </w:rPr>
        <w:tab/>
      </w:r>
      <w:r>
        <w:t>Východiskem pro stanovení obvyklého výnosu na jednotku sociální služby jsou skutečné příjmy na jednotku sociální služby, vyjádřené v Kč. Výnosy jsou zdrojem financování a jsou spojené s poskytováním daného druhu sociální služby za sledované období, vyjádřené v Kč.</w:t>
      </w:r>
    </w:p>
    <w:p w14:paraId="746A269C" w14:textId="70690D5A" w:rsidR="00475554" w:rsidRDefault="00157B87">
      <w:pPr>
        <w:spacing w:before="120" w:after="240"/>
        <w:ind w:left="2835" w:hanging="2835"/>
        <w:jc w:val="both"/>
        <w:rPr>
          <w:rFonts w:ascii="Calibri" w:eastAsia="Times New Roman" w:hAnsi="Calibri" w:cs="Times New Roman"/>
          <w:color w:val="000000"/>
          <w:lang w:eastAsia="cs-CZ"/>
        </w:rPr>
      </w:pPr>
      <w:r>
        <w:rPr>
          <w:rFonts w:ascii="Calibri" w:eastAsia="Times New Roman" w:hAnsi="Calibri" w:cs="Times New Roman"/>
          <w:b/>
          <w:bCs/>
          <w:color w:val="000000"/>
          <w:lang w:eastAsia="cs-CZ"/>
        </w:rPr>
        <w:lastRenderedPageBreak/>
        <w:t>Příspěvek na péči (PnP)</w:t>
      </w:r>
      <w:r>
        <w:rPr>
          <w:rFonts w:ascii="Calibri" w:eastAsia="Times New Roman" w:hAnsi="Calibri" w:cs="Times New Roman"/>
          <w:b/>
          <w:bCs/>
          <w:color w:val="000000"/>
          <w:lang w:eastAsia="cs-CZ"/>
        </w:rPr>
        <w:tab/>
      </w:r>
      <w:r>
        <w:rPr>
          <w:rFonts w:ascii="Calibri" w:eastAsia="Times New Roman" w:hAnsi="Calibri" w:cs="Times New Roman"/>
          <w:color w:val="000000"/>
          <w:lang w:eastAsia="cs-CZ"/>
        </w:rPr>
        <w:t xml:space="preserve">Pravidelně se opakující dávka poskytovaná podle zákona </w:t>
      </w:r>
      <w:r w:rsidR="0036662B">
        <w:t>č. 108/2006 Sb.</w:t>
      </w:r>
      <w:r>
        <w:rPr>
          <w:rFonts w:ascii="Calibri" w:eastAsia="Times New Roman" w:hAnsi="Calibri" w:cs="Times New Roman"/>
          <w:color w:val="000000"/>
          <w:lang w:eastAsia="cs-CZ"/>
        </w:rPr>
        <w:t xml:space="preserve"> Poskytuje se osobám závislým na pomoci jiné fyzické osoby. Tímto příspěvkem se stát podílí na zajištění sociálních služeb nebo jiných forem dle zákona </w:t>
      </w:r>
      <w:r w:rsidR="0036662B">
        <w:t xml:space="preserve">č. 108/2006 Sb. </w:t>
      </w:r>
      <w:r>
        <w:rPr>
          <w:rFonts w:ascii="Calibri" w:eastAsia="Times New Roman" w:hAnsi="Calibri" w:cs="Times New Roman"/>
          <w:color w:val="000000"/>
          <w:lang w:eastAsia="cs-CZ"/>
        </w:rPr>
        <w:t>při zvládání základních životních potřeb osob.</w:t>
      </w:r>
    </w:p>
    <w:p w14:paraId="27581939" w14:textId="0BE379A3" w:rsidR="00475554" w:rsidRDefault="00157B87">
      <w:pPr>
        <w:spacing w:before="120" w:after="240"/>
        <w:ind w:left="2832" w:hanging="2832"/>
        <w:jc w:val="both"/>
        <w:rPr>
          <w:rFonts w:cs="Arial"/>
        </w:rPr>
      </w:pPr>
      <w:r>
        <w:rPr>
          <w:rFonts w:ascii="Calibri" w:eastAsia="Times New Roman" w:hAnsi="Calibri" w:cs="Times New Roman"/>
          <w:b/>
          <w:bCs/>
          <w:color w:val="000000"/>
          <w:lang w:eastAsia="cs-CZ"/>
        </w:rPr>
        <w:t>Příspěvek na provoz</w:t>
      </w:r>
      <w:r>
        <w:rPr>
          <w:rFonts w:ascii="Calibri" w:eastAsia="Times New Roman" w:hAnsi="Calibri" w:cs="Times New Roman"/>
          <w:b/>
          <w:bCs/>
          <w:color w:val="000000"/>
          <w:lang w:eastAsia="cs-CZ"/>
        </w:rPr>
        <w:tab/>
      </w:r>
      <w:r>
        <w:rPr>
          <w:rFonts w:cs="Arial"/>
        </w:rPr>
        <w:t xml:space="preserve">Finanční podpora na sociální služby poskytovaná příspěvkovým </w:t>
      </w:r>
      <w:r>
        <w:rPr>
          <w:rFonts w:cs="Arial"/>
          <w:spacing w:val="-2"/>
        </w:rPr>
        <w:t xml:space="preserve">organizacím zřízeným Zlínským krajem v souladu s § 27 a násl. zákona </w:t>
      </w:r>
      <w:r w:rsidR="0036662B">
        <w:rPr>
          <w:rFonts w:cs="Arial"/>
          <w:spacing w:val="-2"/>
        </w:rPr>
        <w:t>č. 250/2000 Sb</w:t>
      </w:r>
      <w:r>
        <w:rPr>
          <w:rFonts w:cs="Arial"/>
        </w:rPr>
        <w:t>.</w:t>
      </w:r>
    </w:p>
    <w:p w14:paraId="247B3B5C" w14:textId="2DC471B0" w:rsidR="007F71B1" w:rsidRPr="007F71B1" w:rsidRDefault="007F71B1">
      <w:pPr>
        <w:spacing w:before="120" w:after="240"/>
        <w:ind w:left="2832" w:hanging="2832"/>
        <w:jc w:val="both"/>
        <w:rPr>
          <w:rFonts w:cs="Arial"/>
        </w:rPr>
      </w:pPr>
      <w:r w:rsidRPr="00AF48F1">
        <w:rPr>
          <w:rFonts w:cs="Arial"/>
          <w:b/>
          <w:bCs/>
          <w:highlight w:val="yellow"/>
        </w:rPr>
        <w:t>Rezerva</w:t>
      </w:r>
      <w:r w:rsidRPr="00AF48F1">
        <w:rPr>
          <w:rFonts w:cs="Arial"/>
          <w:highlight w:val="yellow"/>
        </w:rPr>
        <w:tab/>
        <w:t>Rezervou se v tomto dokumentu rozumí finanční prostředky z dotace poskytnuté MPSV Zlínskému kraji, které ne</w:t>
      </w:r>
      <w:r w:rsidR="00154E5F" w:rsidRPr="00AF48F1">
        <w:rPr>
          <w:rFonts w:cs="Arial"/>
          <w:highlight w:val="yellow"/>
        </w:rPr>
        <w:t>budou</w:t>
      </w:r>
      <w:r w:rsidRPr="00AF48F1">
        <w:rPr>
          <w:rFonts w:cs="Arial"/>
          <w:highlight w:val="yellow"/>
        </w:rPr>
        <w:t xml:space="preserve"> rozděleny v rámci Výzvy 1 a </w:t>
      </w:r>
      <w:r w:rsidR="00154E5F" w:rsidRPr="00AF48F1">
        <w:rPr>
          <w:rFonts w:cs="Arial"/>
          <w:highlight w:val="yellow"/>
        </w:rPr>
        <w:t xml:space="preserve">jsou určeny na financování nových a rozvíjených sociálních služeb. Pokud nejsou vyčerpány </w:t>
      </w:r>
      <w:r w:rsidR="00C26BEE" w:rsidRPr="00AF48F1">
        <w:rPr>
          <w:rFonts w:cs="Arial"/>
          <w:highlight w:val="yellow"/>
        </w:rPr>
        <w:t>v dalších Výzvách</w:t>
      </w:r>
      <w:r w:rsidR="00154E5F" w:rsidRPr="00AF48F1">
        <w:rPr>
          <w:rFonts w:cs="Arial"/>
          <w:highlight w:val="yellow"/>
        </w:rPr>
        <w:t>, slouží k dofinancování sociálních služeb v daném roce.</w:t>
      </w:r>
      <w:r w:rsidR="00154E5F">
        <w:rPr>
          <w:rFonts w:cs="Arial"/>
        </w:rPr>
        <w:t xml:space="preserve"> </w:t>
      </w:r>
    </w:p>
    <w:p w14:paraId="79CC5E92" w14:textId="77777777" w:rsidR="00475554" w:rsidRDefault="00157B87">
      <w:pPr>
        <w:pStyle w:val="Default"/>
        <w:spacing w:before="120" w:after="240" w:line="276" w:lineRule="auto"/>
        <w:ind w:left="2829" w:hanging="2829"/>
        <w:jc w:val="both"/>
        <w:rPr>
          <w:rFonts w:asciiTheme="minorHAnsi" w:hAnsiTheme="minorHAnsi" w:cstheme="minorHAnsi"/>
          <w:color w:val="auto"/>
          <w:sz w:val="22"/>
          <w:szCs w:val="22"/>
        </w:rPr>
      </w:pPr>
      <w:r>
        <w:rPr>
          <w:rFonts w:asciiTheme="minorHAnsi" w:hAnsiTheme="minorHAnsi" w:cstheme="minorHAnsi"/>
          <w:b/>
          <w:color w:val="auto"/>
          <w:sz w:val="22"/>
          <w:szCs w:val="22"/>
        </w:rPr>
        <w:t>Skupina sociální služby</w:t>
      </w:r>
      <w:r>
        <w:rPr>
          <w:rFonts w:asciiTheme="minorHAnsi" w:hAnsiTheme="minorHAnsi" w:cstheme="minorHAnsi"/>
          <w:color w:val="auto"/>
          <w:sz w:val="22"/>
          <w:szCs w:val="22"/>
        </w:rPr>
        <w:tab/>
      </w:r>
      <w:r>
        <w:rPr>
          <w:rFonts w:asciiTheme="minorHAnsi" w:hAnsiTheme="minorHAnsi" w:cstheme="minorHAnsi"/>
          <w:color w:val="auto"/>
          <w:sz w:val="22"/>
          <w:szCs w:val="22"/>
        </w:rPr>
        <w:tab/>
        <w:t>Skupina sociální služby u pobytových sociálních služeb může být určena cílovou skupinou a/nebo kapacitou sociální služby. U ambulantních a terénních sociálních služeb může být určena formou poskytování a/nebo cílovou skupinou sociální služby.</w:t>
      </w:r>
    </w:p>
    <w:p w14:paraId="3054F017" w14:textId="30BE28B9" w:rsidR="00475554" w:rsidRDefault="00157B87">
      <w:pPr>
        <w:spacing w:before="120" w:after="240"/>
        <w:ind w:left="2832" w:hanging="2832"/>
        <w:jc w:val="both"/>
        <w:rPr>
          <w:rFonts w:ascii="Calibri" w:eastAsia="Times New Roman" w:hAnsi="Calibri" w:cs="Times New Roman"/>
          <w:color w:val="000000"/>
          <w:lang w:eastAsia="cs-CZ"/>
        </w:rPr>
      </w:pPr>
      <w:r>
        <w:rPr>
          <w:rFonts w:ascii="Calibri" w:eastAsia="Times New Roman" w:hAnsi="Calibri" w:cs="Times New Roman"/>
          <w:b/>
          <w:bCs/>
          <w:color w:val="000000"/>
          <w:lang w:eastAsia="cs-CZ"/>
        </w:rPr>
        <w:t>Sociální služba</w:t>
      </w:r>
      <w:r>
        <w:rPr>
          <w:rFonts w:ascii="Calibri" w:eastAsia="Times New Roman" w:hAnsi="Calibri" w:cs="Times New Roman"/>
          <w:b/>
          <w:bCs/>
          <w:color w:val="000000"/>
          <w:lang w:eastAsia="cs-CZ"/>
        </w:rPr>
        <w:tab/>
      </w:r>
      <w:r>
        <w:rPr>
          <w:rFonts w:ascii="Calibri" w:eastAsia="Times New Roman" w:hAnsi="Calibri" w:cs="Times New Roman"/>
          <w:color w:val="000000"/>
          <w:lang w:eastAsia="cs-CZ"/>
        </w:rPr>
        <w:t xml:space="preserve">Činnost nebo soubor činností podle zákona </w:t>
      </w:r>
      <w:r w:rsidR="0036662B">
        <w:t xml:space="preserve">č. 108/2006 Sb. </w:t>
      </w:r>
      <w:r>
        <w:rPr>
          <w:rFonts w:ascii="Calibri" w:eastAsia="Times New Roman" w:hAnsi="Calibri" w:cs="Times New Roman"/>
          <w:color w:val="000000"/>
          <w:lang w:eastAsia="cs-CZ"/>
        </w:rPr>
        <w:t>zajišťujících pomoc a podporu osobám za účelem sociálního začlenění nebo prevence sociálního vyloučení.</w:t>
      </w:r>
    </w:p>
    <w:p w14:paraId="458B6F4F" w14:textId="33EB824A" w:rsidR="00475554" w:rsidRDefault="00157B87">
      <w:pPr>
        <w:spacing w:before="120" w:after="240"/>
        <w:ind w:left="2832" w:hanging="2832"/>
        <w:jc w:val="both"/>
        <w:rPr>
          <w:rFonts w:ascii="Calibri" w:eastAsia="Times New Roman" w:hAnsi="Calibri" w:cs="Times New Roman"/>
          <w:color w:val="000000"/>
          <w:lang w:eastAsia="cs-CZ"/>
        </w:rPr>
      </w:pPr>
      <w:r>
        <w:rPr>
          <w:b/>
        </w:rPr>
        <w:t>Základní síť</w:t>
      </w:r>
      <w:r>
        <w:tab/>
        <w:t xml:space="preserve">Síť </w:t>
      </w:r>
      <w:r w:rsidRPr="00F635D4">
        <w:t>sociálních služeb</w:t>
      </w:r>
      <w:r w:rsidR="00232B7B" w:rsidRPr="00F635D4">
        <w:t>, která je přílohou č.</w:t>
      </w:r>
      <w:r w:rsidR="00AB57CF" w:rsidRPr="00F635D4">
        <w:t xml:space="preserve"> 1 Akčního plánu pro daný rok a je</w:t>
      </w:r>
      <w:r w:rsidRPr="00F635D4">
        <w:t xml:space="preserve"> financovaná</w:t>
      </w:r>
      <w:r>
        <w:t xml:space="preserve"> z veřejných zdrojů, prostřednictvím dotace kraje ze zdrojů MPSV, dle § 101a zákona </w:t>
      </w:r>
      <w:r w:rsidR="0036662B">
        <w:t>č. 108/2006 Sb.</w:t>
      </w:r>
      <w:r>
        <w:t>, z Programů pro poskytování finanční podpory z rozpočtu Zlínského kraje, z projektů Zlínského kraje nebo z Programu podpory B MPSV. Setrvání sociálních služeb v Základní síti na daný rok je v případě sociálních služeb, které provozují činnost, nebo v daném roce činnost zahájily, podmíněno úspěšným splněním nastavených parametrů pro hodnocení sociálních služeb dle Akčního plánu pro daný rok, či jiného dokumentu.</w:t>
      </w:r>
      <w:r w:rsidR="007F71B1">
        <w:t xml:space="preserve"> </w:t>
      </w:r>
    </w:p>
    <w:p w14:paraId="1139F215" w14:textId="77777777" w:rsidR="00475554" w:rsidRDefault="00475554">
      <w:pPr>
        <w:spacing w:before="120" w:after="240"/>
        <w:jc w:val="both"/>
        <w:rPr>
          <w:rFonts w:ascii="Calibri" w:eastAsia="Times New Roman" w:hAnsi="Calibri" w:cs="Times New Roman"/>
          <w:bCs/>
          <w:color w:val="000000"/>
          <w:lang w:eastAsia="cs-CZ"/>
        </w:rPr>
      </w:pPr>
    </w:p>
    <w:p w14:paraId="7708D4EF" w14:textId="77777777" w:rsidR="00475554" w:rsidRDefault="00157B87">
      <w:pPr>
        <w:spacing w:before="120" w:after="240"/>
        <w:jc w:val="both"/>
        <w:rPr>
          <w:rFonts w:ascii="Calibri" w:eastAsia="Times New Roman" w:hAnsi="Calibri" w:cs="Times New Roman"/>
          <w:color w:val="000000"/>
          <w:lang w:eastAsia="cs-CZ"/>
        </w:rPr>
      </w:pPr>
      <w:r>
        <w:br w:type="page"/>
      </w:r>
    </w:p>
    <w:p w14:paraId="28DDD5B4" w14:textId="77777777" w:rsidR="00475554" w:rsidRDefault="00157B87">
      <w:pPr>
        <w:pStyle w:val="Nadpis1"/>
        <w:spacing w:before="120" w:after="240"/>
        <w:ind w:left="709" w:hanging="709"/>
        <w:jc w:val="both"/>
        <w:rPr>
          <w:rFonts w:asciiTheme="minorHAnsi" w:hAnsiTheme="minorHAnsi"/>
          <w:sz w:val="32"/>
          <w:szCs w:val="32"/>
        </w:rPr>
      </w:pPr>
      <w:bookmarkStart w:id="239" w:name="_Toc230777942"/>
      <w:r>
        <w:rPr>
          <w:rFonts w:asciiTheme="minorHAnsi" w:hAnsiTheme="minorHAnsi"/>
          <w:sz w:val="32"/>
          <w:szCs w:val="32"/>
        </w:rPr>
        <w:lastRenderedPageBreak/>
        <w:t>Seznam použitých zkratek</w:t>
      </w:r>
      <w:bookmarkEnd w:id="239"/>
    </w:p>
    <w:p w14:paraId="615C1E0D" w14:textId="77777777" w:rsidR="00475554" w:rsidRDefault="00475554">
      <w:pPr>
        <w:spacing w:before="120" w:after="240"/>
        <w:jc w:val="both"/>
      </w:pPr>
    </w:p>
    <w:p w14:paraId="25F9B363" w14:textId="77777777" w:rsidR="00475554" w:rsidRDefault="00157B87">
      <w:pPr>
        <w:spacing w:before="120" w:after="240"/>
        <w:jc w:val="both"/>
      </w:pPr>
      <w:r>
        <w:rPr>
          <w:b/>
          <w:bCs/>
        </w:rPr>
        <w:t>AP</w:t>
      </w:r>
      <w:r>
        <w:tab/>
      </w:r>
      <w:r>
        <w:tab/>
        <w:t>Akční plán rozvoje sociálních služeb ve Zlínském kraji</w:t>
      </w:r>
    </w:p>
    <w:p w14:paraId="7763AE8F" w14:textId="77777777" w:rsidR="00475554" w:rsidRDefault="00157B87">
      <w:pPr>
        <w:spacing w:before="120" w:after="240"/>
        <w:jc w:val="both"/>
      </w:pPr>
      <w:r>
        <w:rPr>
          <w:b/>
          <w:bCs/>
        </w:rPr>
        <w:t>ČNB</w:t>
      </w:r>
      <w:r>
        <w:tab/>
      </w:r>
      <w:r>
        <w:tab/>
        <w:t>Česká národní banka</w:t>
      </w:r>
    </w:p>
    <w:p w14:paraId="462C9CBC" w14:textId="77777777" w:rsidR="00475554" w:rsidRDefault="00157B87">
      <w:pPr>
        <w:spacing w:before="120" w:after="240"/>
        <w:jc w:val="both"/>
      </w:pPr>
      <w:r>
        <w:rPr>
          <w:b/>
          <w:bCs/>
        </w:rPr>
        <w:t>ES</w:t>
      </w:r>
      <w:r>
        <w:tab/>
      </w:r>
      <w:r>
        <w:tab/>
        <w:t>Evropské společenství</w:t>
      </w:r>
    </w:p>
    <w:p w14:paraId="3885AAA5" w14:textId="77777777" w:rsidR="00475554" w:rsidRDefault="00157B87">
      <w:pPr>
        <w:spacing w:before="120" w:after="240"/>
        <w:jc w:val="both"/>
      </w:pPr>
      <w:r>
        <w:rPr>
          <w:b/>
          <w:bCs/>
        </w:rPr>
        <w:t>EU</w:t>
      </w:r>
      <w:r>
        <w:tab/>
      </w:r>
      <w:r>
        <w:tab/>
        <w:t>Evropská Unie</w:t>
      </w:r>
    </w:p>
    <w:p w14:paraId="7AF04751" w14:textId="77777777" w:rsidR="00475554" w:rsidRDefault="00157B87">
      <w:pPr>
        <w:spacing w:before="120" w:after="240"/>
        <w:jc w:val="both"/>
      </w:pPr>
      <w:r>
        <w:rPr>
          <w:b/>
          <w:bCs/>
        </w:rPr>
        <w:t>FZP</w:t>
      </w:r>
      <w:r>
        <w:tab/>
      </w:r>
      <w:r>
        <w:tab/>
        <w:t>Fondy zdravotních pojišťoven</w:t>
      </w:r>
    </w:p>
    <w:p w14:paraId="6EECE449" w14:textId="77777777" w:rsidR="00475554" w:rsidRDefault="00157B87">
      <w:pPr>
        <w:spacing w:before="120" w:after="240"/>
        <w:jc w:val="both"/>
      </w:pPr>
      <w:r>
        <w:rPr>
          <w:b/>
          <w:bCs/>
        </w:rPr>
        <w:t>IČO</w:t>
      </w:r>
      <w:r>
        <w:tab/>
      </w:r>
      <w:r>
        <w:tab/>
        <w:t>Identifikační číslo</w:t>
      </w:r>
    </w:p>
    <w:p w14:paraId="10FEBA16" w14:textId="77777777" w:rsidR="00475554" w:rsidRDefault="00157B87">
      <w:pPr>
        <w:spacing w:before="120" w:after="240"/>
        <w:jc w:val="both"/>
      </w:pPr>
      <w:r>
        <w:rPr>
          <w:b/>
          <w:bCs/>
        </w:rPr>
        <w:t>IP</w:t>
      </w:r>
      <w:r>
        <w:tab/>
      </w:r>
      <w:r>
        <w:tab/>
        <w:t>Individuální projekt Zlínského kraje</w:t>
      </w:r>
    </w:p>
    <w:p w14:paraId="17359152" w14:textId="77777777" w:rsidR="00475554" w:rsidRDefault="00157B87">
      <w:pPr>
        <w:spacing w:before="120" w:after="240"/>
        <w:jc w:val="both"/>
      </w:pPr>
      <w:r>
        <w:rPr>
          <w:b/>
          <w:bCs/>
        </w:rPr>
        <w:t>KISSoS</w:t>
      </w:r>
      <w:r>
        <w:tab/>
      </w:r>
      <w:r>
        <w:tab/>
        <w:t>Krajský informační systém sociálních služeb</w:t>
      </w:r>
    </w:p>
    <w:p w14:paraId="7D14BA85" w14:textId="77777777" w:rsidR="00475554" w:rsidRDefault="00157B87">
      <w:pPr>
        <w:spacing w:before="120" w:after="240"/>
        <w:jc w:val="both"/>
      </w:pPr>
      <w:r>
        <w:rPr>
          <w:b/>
          <w:bCs/>
        </w:rPr>
        <w:t>KÚZK</w:t>
      </w:r>
      <w:r>
        <w:tab/>
      </w:r>
      <w:r>
        <w:tab/>
        <w:t>Krajský úřad Zlínského kraje</w:t>
      </w:r>
    </w:p>
    <w:p w14:paraId="1F448850" w14:textId="77777777" w:rsidR="00475554" w:rsidRDefault="00157B87">
      <w:pPr>
        <w:spacing w:before="120" w:after="240"/>
        <w:jc w:val="both"/>
      </w:pPr>
      <w:r>
        <w:rPr>
          <w:b/>
          <w:bCs/>
        </w:rPr>
        <w:t>MPSV</w:t>
      </w:r>
      <w:r>
        <w:tab/>
      </w:r>
      <w:r>
        <w:tab/>
        <w:t>Ministerstvo práce a sociálních věcí</w:t>
      </w:r>
    </w:p>
    <w:p w14:paraId="232E329E" w14:textId="77777777" w:rsidR="00475554" w:rsidRDefault="00157B87">
      <w:pPr>
        <w:spacing w:before="120" w:after="240"/>
        <w:jc w:val="both"/>
      </w:pPr>
      <w:r>
        <w:rPr>
          <w:b/>
          <w:bCs/>
        </w:rPr>
        <w:t>PnP</w:t>
      </w:r>
      <w:r>
        <w:tab/>
      </w:r>
      <w:r>
        <w:tab/>
        <w:t>Příspěvek na péči</w:t>
      </w:r>
    </w:p>
    <w:p w14:paraId="3E588ACD" w14:textId="77777777" w:rsidR="00475554" w:rsidRDefault="00157B87">
      <w:pPr>
        <w:spacing w:before="120" w:after="240"/>
        <w:jc w:val="both"/>
      </w:pPr>
      <w:r>
        <w:rPr>
          <w:b/>
          <w:bCs/>
        </w:rPr>
        <w:t>PP</w:t>
      </w:r>
      <w:r>
        <w:tab/>
      </w:r>
      <w:r>
        <w:tab/>
        <w:t>Přímá péče</w:t>
      </w:r>
    </w:p>
    <w:p w14:paraId="65D1A52D" w14:textId="77777777" w:rsidR="00475554" w:rsidRDefault="00157B87">
      <w:pPr>
        <w:spacing w:before="120" w:after="240"/>
        <w:jc w:val="both"/>
      </w:pPr>
      <w:r>
        <w:rPr>
          <w:b/>
          <w:bCs/>
        </w:rPr>
        <w:t>SGEI</w:t>
      </w:r>
      <w:r>
        <w:tab/>
      </w:r>
      <w:r>
        <w:tab/>
        <w:t>Services of General Economic Interest (služby obecného hospodářského zájmu)</w:t>
      </w:r>
    </w:p>
    <w:p w14:paraId="36BA8CDC" w14:textId="77777777" w:rsidR="00475554" w:rsidRDefault="00157B87">
      <w:pPr>
        <w:spacing w:before="120" w:after="240"/>
        <w:jc w:val="both"/>
      </w:pPr>
      <w:r>
        <w:rPr>
          <w:b/>
          <w:bCs/>
        </w:rPr>
        <w:t>SO ORP</w:t>
      </w:r>
      <w:r>
        <w:tab/>
      </w:r>
      <w:r>
        <w:tab/>
        <w:t>Správní obvod obce s rozšířenou působností</w:t>
      </w:r>
    </w:p>
    <w:p w14:paraId="2DBAA1C6" w14:textId="77777777" w:rsidR="00475554" w:rsidRDefault="00157B87">
      <w:pPr>
        <w:spacing w:before="120" w:after="240"/>
        <w:jc w:val="both"/>
      </w:pPr>
      <w:r>
        <w:rPr>
          <w:b/>
          <w:bCs/>
        </w:rPr>
        <w:t>ÚOHS</w:t>
      </w:r>
      <w:r>
        <w:tab/>
      </w:r>
      <w:r>
        <w:tab/>
        <w:t>Úřad pro ochranu hospodářské soutěže</w:t>
      </w:r>
    </w:p>
    <w:p w14:paraId="6BDCF834" w14:textId="77777777" w:rsidR="00475554" w:rsidRDefault="00157B87">
      <w:pPr>
        <w:spacing w:before="120" w:after="240"/>
        <w:jc w:val="both"/>
      </w:pPr>
      <w:r>
        <w:rPr>
          <w:b/>
          <w:bCs/>
        </w:rPr>
        <w:t>ÚSC</w:t>
      </w:r>
      <w:r>
        <w:tab/>
      </w:r>
      <w:r>
        <w:tab/>
        <w:t>Územní samosprávný celek</w:t>
      </w:r>
    </w:p>
    <w:p w14:paraId="172AC37A" w14:textId="77777777" w:rsidR="00475554" w:rsidRDefault="00157B87">
      <w:pPr>
        <w:spacing w:before="120" w:after="240"/>
        <w:jc w:val="both"/>
      </w:pPr>
      <w:r>
        <w:rPr>
          <w:b/>
          <w:bCs/>
        </w:rPr>
        <w:t>ZK</w:t>
      </w:r>
      <w:r>
        <w:tab/>
      </w:r>
      <w:r>
        <w:tab/>
        <w:t>Zlínský kraj</w:t>
      </w:r>
    </w:p>
    <w:p w14:paraId="5E99D80A" w14:textId="77777777" w:rsidR="00475554" w:rsidRDefault="00157B87">
      <w:pPr>
        <w:spacing w:before="120" w:after="240"/>
        <w:jc w:val="both"/>
      </w:pPr>
      <w:r>
        <w:rPr>
          <w:b/>
          <w:bCs/>
        </w:rPr>
        <w:t>ZP</w:t>
      </w:r>
      <w:r>
        <w:tab/>
      </w:r>
      <w:r>
        <w:tab/>
        <w:t>Zdravotní postižení</w:t>
      </w:r>
    </w:p>
    <w:p w14:paraId="4F01E4BA" w14:textId="77777777" w:rsidR="00475554" w:rsidRDefault="00475554">
      <w:pPr>
        <w:spacing w:before="120" w:after="240"/>
        <w:jc w:val="both"/>
      </w:pPr>
    </w:p>
    <w:p w14:paraId="16B09F65" w14:textId="77777777" w:rsidR="00475554" w:rsidRDefault="00157B87">
      <w:pPr>
        <w:spacing w:before="120" w:after="240"/>
        <w:jc w:val="both"/>
      </w:pPr>
      <w:r>
        <w:br w:type="page"/>
      </w:r>
    </w:p>
    <w:p w14:paraId="10DFA7C8" w14:textId="1009DF89" w:rsidR="00475554" w:rsidRDefault="00157B87">
      <w:pPr>
        <w:pStyle w:val="Nadpis1"/>
        <w:spacing w:before="120" w:after="120"/>
        <w:ind w:left="709" w:hanging="709"/>
        <w:jc w:val="both"/>
        <w:rPr>
          <w:rFonts w:asciiTheme="minorHAnsi" w:hAnsiTheme="minorHAnsi"/>
          <w:sz w:val="32"/>
          <w:szCs w:val="32"/>
        </w:rPr>
      </w:pPr>
      <w:bookmarkStart w:id="240" w:name="_Toc230777943"/>
      <w:r>
        <w:rPr>
          <w:rFonts w:asciiTheme="minorHAnsi" w:hAnsiTheme="minorHAnsi"/>
          <w:sz w:val="32"/>
          <w:szCs w:val="32"/>
        </w:rPr>
        <w:lastRenderedPageBreak/>
        <w:t>Seznam tabulek</w:t>
      </w:r>
      <w:bookmarkEnd w:id="240"/>
    </w:p>
    <w:p w14:paraId="6F345F12" w14:textId="77777777" w:rsidR="00475554" w:rsidRDefault="00475554">
      <w:pPr>
        <w:pStyle w:val="Seznamobrzk"/>
        <w:tabs>
          <w:tab w:val="right" w:leader="dot" w:pos="9060"/>
        </w:tabs>
        <w:spacing w:before="120" w:after="120"/>
        <w:jc w:val="both"/>
      </w:pPr>
    </w:p>
    <w:p w14:paraId="28164400" w14:textId="72F297C1" w:rsidR="00E94586" w:rsidRDefault="00157B87">
      <w:pPr>
        <w:pStyle w:val="Seznamobrzk"/>
        <w:tabs>
          <w:tab w:val="right" w:leader="dot" w:pos="9344"/>
        </w:tabs>
        <w:rPr>
          <w:rFonts w:eastAsiaTheme="minorEastAsia"/>
          <w:noProof/>
          <w:kern w:val="2"/>
          <w:sz w:val="24"/>
          <w:szCs w:val="24"/>
          <w:lang w:eastAsia="cs-CZ"/>
          <w14:ligatures w14:val="standardContextual"/>
        </w:rPr>
      </w:pPr>
      <w:r>
        <w:rPr>
          <w:color w:val="000000" w:themeColor="text1"/>
        </w:rPr>
        <w:fldChar w:fldCharType="begin"/>
      </w:r>
      <w:r>
        <w:rPr>
          <w:color w:val="000000" w:themeColor="text1"/>
        </w:rPr>
        <w:instrText xml:space="preserve"> TOC \h \z \c "Tabulka č." </w:instrText>
      </w:r>
      <w:r>
        <w:rPr>
          <w:color w:val="000000" w:themeColor="text1"/>
        </w:rPr>
        <w:fldChar w:fldCharType="separate"/>
      </w:r>
      <w:hyperlink w:anchor="_Toc230769882" w:history="1">
        <w:r w:rsidR="00E94586" w:rsidRPr="00377BF8">
          <w:rPr>
            <w:rStyle w:val="Hypertextovodkaz"/>
            <w:noProof/>
          </w:rPr>
          <w:t>Tabulka č. 1</w:t>
        </w:r>
        <w:r w:rsidR="00E94586" w:rsidRPr="00377BF8">
          <w:rPr>
            <w:rStyle w:val="Hypertextovodkaz"/>
            <w:noProof/>
            <w:spacing w:val="-2"/>
          </w:rPr>
          <w:t>: Znázornění výpočtu obvyklých výnosů pro konkrétní druhy pobytových služeb sociální péče</w:t>
        </w:r>
        <w:r w:rsidR="00E94586">
          <w:rPr>
            <w:noProof/>
            <w:webHidden/>
          </w:rPr>
          <w:tab/>
        </w:r>
        <w:r w:rsidR="00E94586">
          <w:rPr>
            <w:noProof/>
            <w:webHidden/>
          </w:rPr>
          <w:fldChar w:fldCharType="begin"/>
        </w:r>
        <w:r w:rsidR="00E94586">
          <w:rPr>
            <w:noProof/>
            <w:webHidden/>
          </w:rPr>
          <w:instrText xml:space="preserve"> PAGEREF _Toc230769882 \h </w:instrText>
        </w:r>
        <w:r w:rsidR="00E94586">
          <w:rPr>
            <w:noProof/>
            <w:webHidden/>
          </w:rPr>
        </w:r>
        <w:r w:rsidR="00E94586">
          <w:rPr>
            <w:noProof/>
            <w:webHidden/>
          </w:rPr>
          <w:fldChar w:fldCharType="separate"/>
        </w:r>
        <w:r w:rsidR="00E94586">
          <w:rPr>
            <w:noProof/>
            <w:webHidden/>
          </w:rPr>
          <w:t>20</w:t>
        </w:r>
        <w:r w:rsidR="00E94586">
          <w:rPr>
            <w:noProof/>
            <w:webHidden/>
          </w:rPr>
          <w:fldChar w:fldCharType="end"/>
        </w:r>
      </w:hyperlink>
    </w:p>
    <w:p w14:paraId="793B83A5" w14:textId="338354DE" w:rsidR="00E94586" w:rsidRDefault="00E94586">
      <w:pPr>
        <w:pStyle w:val="Seznamobrzk"/>
        <w:tabs>
          <w:tab w:val="right" w:leader="dot" w:pos="9344"/>
        </w:tabs>
        <w:rPr>
          <w:rFonts w:eastAsiaTheme="minorEastAsia"/>
          <w:noProof/>
          <w:kern w:val="2"/>
          <w:sz w:val="24"/>
          <w:szCs w:val="24"/>
          <w:lang w:eastAsia="cs-CZ"/>
          <w14:ligatures w14:val="standardContextual"/>
        </w:rPr>
      </w:pPr>
      <w:hyperlink w:anchor="_Toc230769883" w:history="1">
        <w:r w:rsidRPr="00377BF8">
          <w:rPr>
            <w:rStyle w:val="Hypertextovodkaz"/>
            <w:noProof/>
          </w:rPr>
          <w:t>Tabulka č. 2</w:t>
        </w:r>
        <w:r w:rsidRPr="00377BF8">
          <w:rPr>
            <w:rStyle w:val="Hypertextovodkaz"/>
            <w:noProof/>
            <w:spacing w:val="-2"/>
          </w:rPr>
          <w:t xml:space="preserve">: </w:t>
        </w:r>
        <w:r w:rsidRPr="00377BF8">
          <w:rPr>
            <w:rStyle w:val="Hypertextovodkaz"/>
            <w:noProof/>
          </w:rPr>
          <w:t>Znázornění výpočtu obvyklých výnosů pro konkrétní druhy pobytových služeb sociální prevence</w:t>
        </w:r>
        <w:r>
          <w:rPr>
            <w:noProof/>
            <w:webHidden/>
          </w:rPr>
          <w:tab/>
        </w:r>
        <w:r>
          <w:rPr>
            <w:noProof/>
            <w:webHidden/>
          </w:rPr>
          <w:fldChar w:fldCharType="begin"/>
        </w:r>
        <w:r>
          <w:rPr>
            <w:noProof/>
            <w:webHidden/>
          </w:rPr>
          <w:instrText xml:space="preserve"> PAGEREF _Toc230769883 \h </w:instrText>
        </w:r>
        <w:r>
          <w:rPr>
            <w:noProof/>
            <w:webHidden/>
          </w:rPr>
        </w:r>
        <w:r>
          <w:rPr>
            <w:noProof/>
            <w:webHidden/>
          </w:rPr>
          <w:fldChar w:fldCharType="separate"/>
        </w:r>
        <w:r>
          <w:rPr>
            <w:noProof/>
            <w:webHidden/>
          </w:rPr>
          <w:t>21</w:t>
        </w:r>
        <w:r>
          <w:rPr>
            <w:noProof/>
            <w:webHidden/>
          </w:rPr>
          <w:fldChar w:fldCharType="end"/>
        </w:r>
      </w:hyperlink>
    </w:p>
    <w:p w14:paraId="7B36545D" w14:textId="62C3B1A1" w:rsidR="00E94586" w:rsidRDefault="00E94586">
      <w:pPr>
        <w:pStyle w:val="Seznamobrzk"/>
        <w:tabs>
          <w:tab w:val="right" w:leader="dot" w:pos="9344"/>
        </w:tabs>
        <w:rPr>
          <w:rFonts w:eastAsiaTheme="minorEastAsia"/>
          <w:noProof/>
          <w:kern w:val="2"/>
          <w:sz w:val="24"/>
          <w:szCs w:val="24"/>
          <w:lang w:eastAsia="cs-CZ"/>
          <w14:ligatures w14:val="standardContextual"/>
        </w:rPr>
      </w:pPr>
      <w:hyperlink w:anchor="_Toc230769884" w:history="1">
        <w:r w:rsidRPr="00377BF8">
          <w:rPr>
            <w:rStyle w:val="Hypertextovodkaz"/>
            <w:noProof/>
          </w:rPr>
          <w:t>Tabulka č. 3: Přehled členění druhů pobytových služeb sociální péče a sociální prevence a předpokládaných podílů územních samosprávných celků na obvyklých nákladech</w:t>
        </w:r>
        <w:r>
          <w:rPr>
            <w:noProof/>
            <w:webHidden/>
          </w:rPr>
          <w:tab/>
        </w:r>
        <w:r>
          <w:rPr>
            <w:noProof/>
            <w:webHidden/>
          </w:rPr>
          <w:fldChar w:fldCharType="begin"/>
        </w:r>
        <w:r>
          <w:rPr>
            <w:noProof/>
            <w:webHidden/>
          </w:rPr>
          <w:instrText xml:space="preserve"> PAGEREF _Toc230769884 \h </w:instrText>
        </w:r>
        <w:r>
          <w:rPr>
            <w:noProof/>
            <w:webHidden/>
          </w:rPr>
        </w:r>
        <w:r>
          <w:rPr>
            <w:noProof/>
            <w:webHidden/>
          </w:rPr>
          <w:fldChar w:fldCharType="separate"/>
        </w:r>
        <w:r>
          <w:rPr>
            <w:noProof/>
            <w:webHidden/>
          </w:rPr>
          <w:t>22</w:t>
        </w:r>
        <w:r>
          <w:rPr>
            <w:noProof/>
            <w:webHidden/>
          </w:rPr>
          <w:fldChar w:fldCharType="end"/>
        </w:r>
      </w:hyperlink>
    </w:p>
    <w:p w14:paraId="6E4F64B3" w14:textId="0ADCFD56" w:rsidR="00E94586" w:rsidRDefault="00E94586">
      <w:pPr>
        <w:pStyle w:val="Seznamobrzk"/>
        <w:tabs>
          <w:tab w:val="right" w:leader="dot" w:pos="9344"/>
        </w:tabs>
        <w:rPr>
          <w:rFonts w:eastAsiaTheme="minorEastAsia"/>
          <w:noProof/>
          <w:kern w:val="2"/>
          <w:sz w:val="24"/>
          <w:szCs w:val="24"/>
          <w:lang w:eastAsia="cs-CZ"/>
          <w14:ligatures w14:val="standardContextual"/>
        </w:rPr>
      </w:pPr>
      <w:hyperlink w:anchor="_Toc230769885" w:history="1">
        <w:r w:rsidRPr="00377BF8">
          <w:rPr>
            <w:rStyle w:val="Hypertextovodkaz"/>
            <w:noProof/>
          </w:rPr>
          <w:t>Tabulka č. 4</w:t>
        </w:r>
        <w:r w:rsidRPr="00377BF8">
          <w:rPr>
            <w:rStyle w:val="Hypertextovodkaz"/>
            <w:noProof/>
            <w:spacing w:val="-4"/>
          </w:rPr>
          <w:t>: Znázornění výpočtu obvyklých výnosů pro konkrétní druhy ambulantních služeb sociální péče</w:t>
        </w:r>
        <w:r>
          <w:rPr>
            <w:noProof/>
            <w:webHidden/>
          </w:rPr>
          <w:tab/>
        </w:r>
        <w:r>
          <w:rPr>
            <w:noProof/>
            <w:webHidden/>
          </w:rPr>
          <w:fldChar w:fldCharType="begin"/>
        </w:r>
        <w:r>
          <w:rPr>
            <w:noProof/>
            <w:webHidden/>
          </w:rPr>
          <w:instrText xml:space="preserve"> PAGEREF _Toc230769885 \h </w:instrText>
        </w:r>
        <w:r>
          <w:rPr>
            <w:noProof/>
            <w:webHidden/>
          </w:rPr>
        </w:r>
        <w:r>
          <w:rPr>
            <w:noProof/>
            <w:webHidden/>
          </w:rPr>
          <w:fldChar w:fldCharType="separate"/>
        </w:r>
        <w:r>
          <w:rPr>
            <w:noProof/>
            <w:webHidden/>
          </w:rPr>
          <w:t>27</w:t>
        </w:r>
        <w:r>
          <w:rPr>
            <w:noProof/>
            <w:webHidden/>
          </w:rPr>
          <w:fldChar w:fldCharType="end"/>
        </w:r>
      </w:hyperlink>
    </w:p>
    <w:p w14:paraId="76D71D09" w14:textId="300F3282" w:rsidR="00E94586" w:rsidRDefault="00E94586">
      <w:pPr>
        <w:pStyle w:val="Seznamobrzk"/>
        <w:tabs>
          <w:tab w:val="right" w:leader="dot" w:pos="9344"/>
        </w:tabs>
        <w:rPr>
          <w:rFonts w:eastAsiaTheme="minorEastAsia"/>
          <w:noProof/>
          <w:kern w:val="2"/>
          <w:sz w:val="24"/>
          <w:szCs w:val="24"/>
          <w:lang w:eastAsia="cs-CZ"/>
          <w14:ligatures w14:val="standardContextual"/>
        </w:rPr>
      </w:pPr>
      <w:hyperlink w:anchor="_Toc230769886" w:history="1">
        <w:r w:rsidRPr="00377BF8">
          <w:rPr>
            <w:rStyle w:val="Hypertextovodkaz"/>
            <w:noProof/>
          </w:rPr>
          <w:t>Tabulka č. 5: Znázornění výpočtu obvyklých výnosů pro konkrétní druhy terénních služeb sociální péče</w:t>
        </w:r>
        <w:r>
          <w:rPr>
            <w:noProof/>
            <w:webHidden/>
          </w:rPr>
          <w:tab/>
        </w:r>
        <w:r>
          <w:rPr>
            <w:noProof/>
            <w:webHidden/>
          </w:rPr>
          <w:fldChar w:fldCharType="begin"/>
        </w:r>
        <w:r>
          <w:rPr>
            <w:noProof/>
            <w:webHidden/>
          </w:rPr>
          <w:instrText xml:space="preserve"> PAGEREF _Toc230769886 \h </w:instrText>
        </w:r>
        <w:r>
          <w:rPr>
            <w:noProof/>
            <w:webHidden/>
          </w:rPr>
        </w:r>
        <w:r>
          <w:rPr>
            <w:noProof/>
            <w:webHidden/>
          </w:rPr>
          <w:fldChar w:fldCharType="separate"/>
        </w:r>
        <w:r>
          <w:rPr>
            <w:noProof/>
            <w:webHidden/>
          </w:rPr>
          <w:t>29</w:t>
        </w:r>
        <w:r>
          <w:rPr>
            <w:noProof/>
            <w:webHidden/>
          </w:rPr>
          <w:fldChar w:fldCharType="end"/>
        </w:r>
      </w:hyperlink>
    </w:p>
    <w:p w14:paraId="3581E5C5" w14:textId="04F3D8F6" w:rsidR="00E94586" w:rsidRDefault="00E94586">
      <w:pPr>
        <w:pStyle w:val="Seznamobrzk"/>
        <w:tabs>
          <w:tab w:val="right" w:leader="dot" w:pos="9344"/>
        </w:tabs>
        <w:rPr>
          <w:rFonts w:eastAsiaTheme="minorEastAsia"/>
          <w:noProof/>
          <w:kern w:val="2"/>
          <w:sz w:val="24"/>
          <w:szCs w:val="24"/>
          <w:lang w:eastAsia="cs-CZ"/>
          <w14:ligatures w14:val="standardContextual"/>
        </w:rPr>
      </w:pPr>
      <w:hyperlink w:anchor="_Toc230769887" w:history="1">
        <w:r w:rsidRPr="00377BF8">
          <w:rPr>
            <w:rStyle w:val="Hypertextovodkaz"/>
            <w:noProof/>
          </w:rPr>
          <w:t>Tabulka č. 6</w:t>
        </w:r>
        <w:r w:rsidRPr="00377BF8">
          <w:rPr>
            <w:rStyle w:val="Hypertextovodkaz"/>
            <w:noProof/>
            <w:spacing w:val="-4"/>
          </w:rPr>
          <w:t xml:space="preserve">: Přehled členění druhů ambulantních a terénních služeb sociální péče, </w:t>
        </w:r>
        <w:r w:rsidRPr="00377BF8">
          <w:rPr>
            <w:rStyle w:val="Hypertextovodkaz"/>
            <w:noProof/>
          </w:rPr>
          <w:t>sociální prevence a sociálního poradenství a předpokládaných podílů územních samosprávných celků na obvyklých nákladech</w:t>
        </w:r>
        <w:r>
          <w:rPr>
            <w:noProof/>
            <w:webHidden/>
          </w:rPr>
          <w:tab/>
        </w:r>
        <w:r>
          <w:rPr>
            <w:noProof/>
            <w:webHidden/>
          </w:rPr>
          <w:fldChar w:fldCharType="begin"/>
        </w:r>
        <w:r>
          <w:rPr>
            <w:noProof/>
            <w:webHidden/>
          </w:rPr>
          <w:instrText xml:space="preserve"> PAGEREF _Toc230769887 \h </w:instrText>
        </w:r>
        <w:r>
          <w:rPr>
            <w:noProof/>
            <w:webHidden/>
          </w:rPr>
        </w:r>
        <w:r>
          <w:rPr>
            <w:noProof/>
            <w:webHidden/>
          </w:rPr>
          <w:fldChar w:fldCharType="separate"/>
        </w:r>
        <w:r>
          <w:rPr>
            <w:noProof/>
            <w:webHidden/>
          </w:rPr>
          <w:t>30</w:t>
        </w:r>
        <w:r>
          <w:rPr>
            <w:noProof/>
            <w:webHidden/>
          </w:rPr>
          <w:fldChar w:fldCharType="end"/>
        </w:r>
      </w:hyperlink>
    </w:p>
    <w:p w14:paraId="53588803" w14:textId="6BFC1B4C" w:rsidR="00E94586" w:rsidRDefault="00E94586">
      <w:pPr>
        <w:pStyle w:val="Seznamobrzk"/>
        <w:tabs>
          <w:tab w:val="right" w:leader="dot" w:pos="9344"/>
        </w:tabs>
        <w:rPr>
          <w:rFonts w:eastAsiaTheme="minorEastAsia"/>
          <w:noProof/>
          <w:kern w:val="2"/>
          <w:sz w:val="24"/>
          <w:szCs w:val="24"/>
          <w:lang w:eastAsia="cs-CZ"/>
          <w14:ligatures w14:val="standardContextual"/>
        </w:rPr>
      </w:pPr>
      <w:hyperlink w:anchor="_Toc230769888" w:history="1">
        <w:r w:rsidRPr="00377BF8">
          <w:rPr>
            <w:rStyle w:val="Hypertextovodkaz"/>
            <w:noProof/>
            <w:spacing w:val="-6"/>
          </w:rPr>
          <w:t>Tabulka č. 7: Maximální redukce vypočtené finanční podpory dle forem poskytování sociálních služeb a základních skupin</w:t>
        </w:r>
        <w:r>
          <w:rPr>
            <w:noProof/>
            <w:webHidden/>
          </w:rPr>
          <w:tab/>
        </w:r>
        <w:r>
          <w:rPr>
            <w:noProof/>
            <w:webHidden/>
          </w:rPr>
          <w:fldChar w:fldCharType="begin"/>
        </w:r>
        <w:r>
          <w:rPr>
            <w:noProof/>
            <w:webHidden/>
          </w:rPr>
          <w:instrText xml:space="preserve"> PAGEREF _Toc230769888 \h </w:instrText>
        </w:r>
        <w:r>
          <w:rPr>
            <w:noProof/>
            <w:webHidden/>
          </w:rPr>
        </w:r>
        <w:r>
          <w:rPr>
            <w:noProof/>
            <w:webHidden/>
          </w:rPr>
          <w:fldChar w:fldCharType="separate"/>
        </w:r>
        <w:r>
          <w:rPr>
            <w:noProof/>
            <w:webHidden/>
          </w:rPr>
          <w:t>32</w:t>
        </w:r>
        <w:r>
          <w:rPr>
            <w:noProof/>
            <w:webHidden/>
          </w:rPr>
          <w:fldChar w:fldCharType="end"/>
        </w:r>
      </w:hyperlink>
    </w:p>
    <w:p w14:paraId="06C36761" w14:textId="0666C5F1" w:rsidR="00475554" w:rsidRDefault="00157B87">
      <w:pPr>
        <w:pStyle w:val="Seznamobrzk"/>
        <w:tabs>
          <w:tab w:val="right" w:leader="dot" w:pos="9060"/>
        </w:tabs>
        <w:spacing w:after="120"/>
        <w:jc w:val="both"/>
        <w:rPr>
          <w:color w:val="000000" w:themeColor="text1"/>
        </w:rPr>
      </w:pPr>
      <w:r>
        <w:rPr>
          <w:color w:val="000000" w:themeColor="text1"/>
        </w:rPr>
        <w:fldChar w:fldCharType="end"/>
      </w:r>
    </w:p>
    <w:sectPr w:rsidR="00475554" w:rsidSect="00DD7159">
      <w:headerReference w:type="even" r:id="rId22"/>
      <w:headerReference w:type="default" r:id="rId23"/>
      <w:footerReference w:type="even" r:id="rId24"/>
      <w:footerReference w:type="default" r:id="rId25"/>
      <w:headerReference w:type="first" r:id="rId26"/>
      <w:footerReference w:type="first" r:id="rId27"/>
      <w:pgSz w:w="11906" w:h="16838"/>
      <w:pgMar w:top="1134" w:right="1134"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A9724" w14:textId="77777777" w:rsidR="00B67ACF" w:rsidRDefault="00B67ACF">
      <w:pPr>
        <w:spacing w:after="0" w:line="240" w:lineRule="auto"/>
      </w:pPr>
      <w:r>
        <w:separator/>
      </w:r>
    </w:p>
  </w:endnote>
  <w:endnote w:type="continuationSeparator" w:id="0">
    <w:p w14:paraId="1F04F155" w14:textId="77777777" w:rsidR="00B67ACF" w:rsidRDefault="00B67ACF">
      <w:pPr>
        <w:spacing w:after="0" w:line="240" w:lineRule="auto"/>
      </w:pPr>
      <w:r>
        <w:continuationSeparator/>
      </w:r>
    </w:p>
  </w:endnote>
  <w:endnote w:type="continuationNotice" w:id="1">
    <w:p w14:paraId="0AC3525A" w14:textId="77777777" w:rsidR="00B67ACF" w:rsidRDefault="00B67A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3072C" w14:textId="77777777" w:rsidR="00104A98" w:rsidRDefault="00104A9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28243"/>
      <w:docPartObj>
        <w:docPartGallery w:val="Page Numbers (Bottom of Page)"/>
        <w:docPartUnique/>
      </w:docPartObj>
    </w:sdtPr>
    <w:sdtEndPr/>
    <w:sdtContent>
      <w:p w14:paraId="1A879EB2" w14:textId="64E5903F" w:rsidR="00B2484C" w:rsidRDefault="00B2484C">
        <w:pPr>
          <w:pStyle w:val="Zpat"/>
          <w:jc w:val="center"/>
        </w:pPr>
        <w:r>
          <w:fldChar w:fldCharType="begin"/>
        </w:r>
        <w:r>
          <w:instrText>PAGE   \* MERGEFORMAT</w:instrText>
        </w:r>
        <w:r>
          <w:fldChar w:fldCharType="separate"/>
        </w:r>
        <w:r w:rsidR="00551B54">
          <w:rPr>
            <w:noProof/>
          </w:rPr>
          <w:t>35</w:t>
        </w:r>
        <w:r>
          <w:fldChar w:fldCharType="end"/>
        </w:r>
      </w:p>
    </w:sdtContent>
  </w:sdt>
  <w:p w14:paraId="5FDFDE1E" w14:textId="77777777" w:rsidR="00B2484C" w:rsidRDefault="00B2484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D4D5C" w14:textId="77777777" w:rsidR="00104A98" w:rsidRDefault="00104A9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5FCE5" w14:textId="77777777" w:rsidR="00B67ACF" w:rsidRDefault="00B67ACF">
      <w:pPr>
        <w:spacing w:after="0" w:line="240" w:lineRule="auto"/>
      </w:pPr>
      <w:r>
        <w:separator/>
      </w:r>
    </w:p>
  </w:footnote>
  <w:footnote w:type="continuationSeparator" w:id="0">
    <w:p w14:paraId="15AA2558" w14:textId="77777777" w:rsidR="00B67ACF" w:rsidRDefault="00B67ACF">
      <w:pPr>
        <w:spacing w:after="0" w:line="240" w:lineRule="auto"/>
      </w:pPr>
      <w:r>
        <w:continuationSeparator/>
      </w:r>
    </w:p>
  </w:footnote>
  <w:footnote w:type="continuationNotice" w:id="1">
    <w:p w14:paraId="0830534B" w14:textId="77777777" w:rsidR="00B67ACF" w:rsidRDefault="00B67ACF">
      <w:pPr>
        <w:spacing w:after="0" w:line="240" w:lineRule="auto"/>
      </w:pPr>
    </w:p>
  </w:footnote>
  <w:footnote w:id="2">
    <w:p w14:paraId="544ED356" w14:textId="77777777" w:rsidR="00B2484C" w:rsidRDefault="00B2484C">
      <w:pPr>
        <w:pStyle w:val="Textpoznpodarou"/>
        <w:jc w:val="both"/>
        <w:rPr>
          <w:rFonts w:ascii="Arial" w:hAnsi="Arial" w:cs="Arial"/>
          <w:sz w:val="18"/>
          <w:szCs w:val="18"/>
        </w:rPr>
      </w:pPr>
      <w:r>
        <w:rPr>
          <w:rStyle w:val="Znakapoznpodarou"/>
          <w:rFonts w:ascii="Arial" w:hAnsi="Arial" w:cs="Arial"/>
        </w:rPr>
        <w:footnoteRef/>
      </w:r>
      <w:r>
        <w:rPr>
          <w:rFonts w:ascii="Arial" w:hAnsi="Arial" w:cs="Arial"/>
        </w:rPr>
        <w:t xml:space="preserve"> </w:t>
      </w:r>
      <w:r>
        <w:rPr>
          <w:rFonts w:cs="Arial"/>
          <w:sz w:val="18"/>
          <w:szCs w:val="18"/>
        </w:rPr>
        <w:t>Posouzení systému financování sociálních služeb Zlínským krajem pro rok 2015 z pohledu problematiky veřejné podpory včetně posouzení smluv a souvisejících dokumentů, JUDr. Michael Kincl, soudní znalec, 21. 1. 2015.</w:t>
      </w:r>
    </w:p>
  </w:footnote>
  <w:footnote w:id="3">
    <w:p w14:paraId="6F0E717E" w14:textId="77777777" w:rsidR="00B2484C" w:rsidRDefault="00B2484C">
      <w:pPr>
        <w:pStyle w:val="Textpoznpodarou"/>
        <w:jc w:val="both"/>
        <w:rPr>
          <w:sz w:val="18"/>
          <w:szCs w:val="18"/>
        </w:rPr>
      </w:pPr>
      <w:r>
        <w:rPr>
          <w:rStyle w:val="Znakapoznpodarou"/>
        </w:rPr>
        <w:footnoteRef/>
      </w:r>
      <w:r>
        <w:t xml:space="preserve"> </w:t>
      </w:r>
      <w:r>
        <w:rPr>
          <w:sz w:val="18"/>
          <w:szCs w:val="18"/>
        </w:rPr>
        <w:t>Otázka přiměřeného zisku bude řešena příslušným Programem. V případě individuálních projektů financovaných z Operačního programu Zaměstnanost plus se přiměřený zisk nepřipouští.</w:t>
      </w:r>
    </w:p>
  </w:footnote>
  <w:footnote w:id="4">
    <w:p w14:paraId="619BCBC8" w14:textId="67F967B2" w:rsidR="00100547" w:rsidRDefault="00100547" w:rsidP="0056124C">
      <w:pPr>
        <w:pStyle w:val="Textpoznpodarou"/>
        <w:jc w:val="both"/>
      </w:pPr>
      <w:r w:rsidRPr="001E6463">
        <w:rPr>
          <w:vertAlign w:val="superscript"/>
        </w:rPr>
        <w:footnoteRef/>
      </w:r>
      <w:r w:rsidRPr="0056124C">
        <w:rPr>
          <w:sz w:val="18"/>
          <w:szCs w:val="18"/>
        </w:rPr>
        <w:t xml:space="preserve"> Maximální limit představuje výše obvyklého nákladu dané sociální služby, a to za předpokladu, že u služby nejsou modelovány jiné obvyklé výnosy.</w:t>
      </w:r>
    </w:p>
  </w:footnote>
  <w:footnote w:id="5">
    <w:p w14:paraId="1824D427" w14:textId="77777777" w:rsidR="00B2484C" w:rsidRDefault="00B2484C">
      <w:pPr>
        <w:pStyle w:val="Textpoznpodarou"/>
        <w:jc w:val="both"/>
      </w:pPr>
      <w:r>
        <w:rPr>
          <w:rStyle w:val="Znakapoznpodarou"/>
        </w:rPr>
        <w:footnoteRef/>
      </w:r>
      <w:r>
        <w:t xml:space="preserve"> </w:t>
      </w:r>
      <w:r>
        <w:rPr>
          <w:sz w:val="18"/>
          <w:szCs w:val="18"/>
        </w:rPr>
        <w:t>Zdroj: ČNB</w:t>
      </w:r>
    </w:p>
  </w:footnote>
  <w:footnote w:id="6">
    <w:p w14:paraId="57EBACDD" w14:textId="77777777" w:rsidR="00B2484C" w:rsidRDefault="00B2484C">
      <w:pPr>
        <w:pStyle w:val="Textpoznpodarou"/>
        <w:jc w:val="both"/>
        <w:rPr>
          <w:sz w:val="18"/>
          <w:szCs w:val="18"/>
        </w:rPr>
      </w:pPr>
      <w:r>
        <w:rPr>
          <w:rStyle w:val="Znakapoznpodarou"/>
        </w:rPr>
        <w:footnoteRef/>
      </w:r>
      <w:r>
        <w:t xml:space="preserve"> </w:t>
      </w:r>
      <w:r>
        <w:rPr>
          <w:sz w:val="18"/>
          <w:szCs w:val="18"/>
        </w:rPr>
        <w:t>Otázka přiměřeného zisku bude řešena příslušným Programem.</w:t>
      </w:r>
    </w:p>
  </w:footnote>
  <w:footnote w:id="7">
    <w:p w14:paraId="07538C2E" w14:textId="77777777" w:rsidR="00B2484C" w:rsidRDefault="00B2484C">
      <w:pPr>
        <w:pStyle w:val="Textpoznpodarou"/>
      </w:pPr>
      <w:r>
        <w:rPr>
          <w:rStyle w:val="Znakapoznpodarou"/>
        </w:rPr>
        <w:footnoteRef/>
      </w:r>
      <w:r>
        <w:t xml:space="preserve"> </w:t>
      </w:r>
      <w:r>
        <w:rPr>
          <w:sz w:val="18"/>
          <w:szCs w:val="18"/>
        </w:rPr>
        <w:t>Otázka přiměřeného zisku bude řešena příslušným Programem.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C53E" w14:textId="77777777" w:rsidR="00104A98" w:rsidRDefault="00104A9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04B4" w14:textId="4CD7F81D" w:rsidR="00B2484C" w:rsidRDefault="00AA343B" w:rsidP="00AA343B">
    <w:pPr>
      <w:pStyle w:val="Zhlav"/>
      <w:tabs>
        <w:tab w:val="left" w:pos="8160"/>
      </w:tabs>
    </w:pP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88933" w14:textId="71032477" w:rsidR="00104A98" w:rsidRPr="00104A98" w:rsidRDefault="00104A98">
    <w:pPr>
      <w:pStyle w:val="Zhlav"/>
      <w:rPr>
        <w:rFonts w:ascii="Arial" w:hAnsi="Arial" w:cs="Arial"/>
        <w:b/>
        <w:bCs/>
        <w:sz w:val="24"/>
        <w:szCs w:val="24"/>
      </w:rPr>
    </w:pPr>
    <w:r>
      <w:tab/>
    </w:r>
    <w:r>
      <w:tab/>
    </w:r>
    <w:r w:rsidRPr="00104A98">
      <w:rPr>
        <w:rFonts w:ascii="Arial" w:hAnsi="Arial" w:cs="Arial"/>
        <w:b/>
        <w:bCs/>
        <w:sz w:val="24"/>
        <w:szCs w:val="24"/>
      </w:rPr>
      <w:t>Příloha č. 0634-26-P02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60E9"/>
    <w:multiLevelType w:val="hybridMultilevel"/>
    <w:tmpl w:val="12C442C2"/>
    <w:lvl w:ilvl="0" w:tplc="04050001">
      <w:start w:val="1"/>
      <w:numFmt w:val="bullet"/>
      <w:lvlText w:val=""/>
      <w:lvlJc w:val="left"/>
      <w:pPr>
        <w:ind w:left="2204" w:hanging="360"/>
      </w:pPr>
      <w:rPr>
        <w:rFonts w:ascii="Symbol" w:hAnsi="Symbol" w:hint="default"/>
      </w:rPr>
    </w:lvl>
    <w:lvl w:ilvl="1" w:tplc="04050003">
      <w:start w:val="1"/>
      <w:numFmt w:val="bullet"/>
      <w:lvlText w:val="o"/>
      <w:lvlJc w:val="left"/>
      <w:pPr>
        <w:ind w:left="2376" w:hanging="360"/>
      </w:pPr>
      <w:rPr>
        <w:rFonts w:ascii="Courier New" w:hAnsi="Courier New" w:cs="Courier New" w:hint="default"/>
      </w:rPr>
    </w:lvl>
    <w:lvl w:ilvl="2" w:tplc="04050005" w:tentative="1">
      <w:start w:val="1"/>
      <w:numFmt w:val="bullet"/>
      <w:lvlText w:val=""/>
      <w:lvlJc w:val="left"/>
      <w:pPr>
        <w:ind w:left="3096" w:hanging="360"/>
      </w:pPr>
      <w:rPr>
        <w:rFonts w:ascii="Wingdings" w:hAnsi="Wingdings" w:hint="default"/>
      </w:rPr>
    </w:lvl>
    <w:lvl w:ilvl="3" w:tplc="04050001" w:tentative="1">
      <w:start w:val="1"/>
      <w:numFmt w:val="bullet"/>
      <w:lvlText w:val=""/>
      <w:lvlJc w:val="left"/>
      <w:pPr>
        <w:ind w:left="3816" w:hanging="360"/>
      </w:pPr>
      <w:rPr>
        <w:rFonts w:ascii="Symbol" w:hAnsi="Symbol" w:hint="default"/>
      </w:rPr>
    </w:lvl>
    <w:lvl w:ilvl="4" w:tplc="04050003" w:tentative="1">
      <w:start w:val="1"/>
      <w:numFmt w:val="bullet"/>
      <w:lvlText w:val="o"/>
      <w:lvlJc w:val="left"/>
      <w:pPr>
        <w:ind w:left="4536" w:hanging="360"/>
      </w:pPr>
      <w:rPr>
        <w:rFonts w:ascii="Courier New" w:hAnsi="Courier New" w:cs="Courier New" w:hint="default"/>
      </w:rPr>
    </w:lvl>
    <w:lvl w:ilvl="5" w:tplc="04050005" w:tentative="1">
      <w:start w:val="1"/>
      <w:numFmt w:val="bullet"/>
      <w:lvlText w:val=""/>
      <w:lvlJc w:val="left"/>
      <w:pPr>
        <w:ind w:left="5256" w:hanging="360"/>
      </w:pPr>
      <w:rPr>
        <w:rFonts w:ascii="Wingdings" w:hAnsi="Wingdings" w:hint="default"/>
      </w:rPr>
    </w:lvl>
    <w:lvl w:ilvl="6" w:tplc="04050001" w:tentative="1">
      <w:start w:val="1"/>
      <w:numFmt w:val="bullet"/>
      <w:lvlText w:val=""/>
      <w:lvlJc w:val="left"/>
      <w:pPr>
        <w:ind w:left="5976" w:hanging="360"/>
      </w:pPr>
      <w:rPr>
        <w:rFonts w:ascii="Symbol" w:hAnsi="Symbol" w:hint="default"/>
      </w:rPr>
    </w:lvl>
    <w:lvl w:ilvl="7" w:tplc="04050003" w:tentative="1">
      <w:start w:val="1"/>
      <w:numFmt w:val="bullet"/>
      <w:lvlText w:val="o"/>
      <w:lvlJc w:val="left"/>
      <w:pPr>
        <w:ind w:left="6696" w:hanging="360"/>
      </w:pPr>
      <w:rPr>
        <w:rFonts w:ascii="Courier New" w:hAnsi="Courier New" w:cs="Courier New" w:hint="default"/>
      </w:rPr>
    </w:lvl>
    <w:lvl w:ilvl="8" w:tplc="04050005" w:tentative="1">
      <w:start w:val="1"/>
      <w:numFmt w:val="bullet"/>
      <w:lvlText w:val=""/>
      <w:lvlJc w:val="left"/>
      <w:pPr>
        <w:ind w:left="7416" w:hanging="360"/>
      </w:pPr>
      <w:rPr>
        <w:rFonts w:ascii="Wingdings" w:hAnsi="Wingdings" w:hint="default"/>
      </w:rPr>
    </w:lvl>
  </w:abstractNum>
  <w:abstractNum w:abstractNumId="1" w15:restartNumberingAfterBreak="0">
    <w:nsid w:val="04B25340"/>
    <w:multiLevelType w:val="hybridMultilevel"/>
    <w:tmpl w:val="038C5E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79C2073"/>
    <w:multiLevelType w:val="hybridMultilevel"/>
    <w:tmpl w:val="6FC6871E"/>
    <w:lvl w:ilvl="0" w:tplc="F62CA7B4">
      <w:start w:val="1"/>
      <w:numFmt w:val="decimal"/>
      <w:pStyle w:val="nf"/>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9C6E10"/>
    <w:multiLevelType w:val="hybridMultilevel"/>
    <w:tmpl w:val="4E743938"/>
    <w:lvl w:ilvl="0" w:tplc="05DE83E2">
      <w:start w:val="1"/>
      <w:numFmt w:val="decimal"/>
      <w:lvlText w:val="%1."/>
      <w:lvlJc w:val="left"/>
      <w:pPr>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97615C8"/>
    <w:multiLevelType w:val="hybridMultilevel"/>
    <w:tmpl w:val="922AC4B0"/>
    <w:lvl w:ilvl="0" w:tplc="04050001">
      <w:start w:val="1"/>
      <w:numFmt w:val="bullet"/>
      <w:lvlText w:val=""/>
      <w:lvlJc w:val="left"/>
      <w:pPr>
        <w:ind w:left="1872" w:hanging="360"/>
      </w:pPr>
      <w:rPr>
        <w:rFonts w:ascii="Symbol" w:hAnsi="Symbol" w:hint="default"/>
      </w:rPr>
    </w:lvl>
    <w:lvl w:ilvl="1" w:tplc="04050003">
      <w:start w:val="1"/>
      <w:numFmt w:val="bullet"/>
      <w:lvlText w:val="o"/>
      <w:lvlJc w:val="left"/>
      <w:pPr>
        <w:ind w:left="2592" w:hanging="360"/>
      </w:pPr>
      <w:rPr>
        <w:rFonts w:ascii="Courier New" w:hAnsi="Courier New" w:cs="Courier New" w:hint="default"/>
      </w:rPr>
    </w:lvl>
    <w:lvl w:ilvl="2" w:tplc="04050005" w:tentative="1">
      <w:start w:val="1"/>
      <w:numFmt w:val="bullet"/>
      <w:lvlText w:val=""/>
      <w:lvlJc w:val="left"/>
      <w:pPr>
        <w:ind w:left="3312" w:hanging="360"/>
      </w:pPr>
      <w:rPr>
        <w:rFonts w:ascii="Wingdings" w:hAnsi="Wingdings" w:hint="default"/>
      </w:rPr>
    </w:lvl>
    <w:lvl w:ilvl="3" w:tplc="04050001" w:tentative="1">
      <w:start w:val="1"/>
      <w:numFmt w:val="bullet"/>
      <w:lvlText w:val=""/>
      <w:lvlJc w:val="left"/>
      <w:pPr>
        <w:ind w:left="4032" w:hanging="360"/>
      </w:pPr>
      <w:rPr>
        <w:rFonts w:ascii="Symbol" w:hAnsi="Symbol" w:hint="default"/>
      </w:rPr>
    </w:lvl>
    <w:lvl w:ilvl="4" w:tplc="04050003" w:tentative="1">
      <w:start w:val="1"/>
      <w:numFmt w:val="bullet"/>
      <w:lvlText w:val="o"/>
      <w:lvlJc w:val="left"/>
      <w:pPr>
        <w:ind w:left="4752" w:hanging="360"/>
      </w:pPr>
      <w:rPr>
        <w:rFonts w:ascii="Courier New" w:hAnsi="Courier New" w:cs="Courier New" w:hint="default"/>
      </w:rPr>
    </w:lvl>
    <w:lvl w:ilvl="5" w:tplc="04050005" w:tentative="1">
      <w:start w:val="1"/>
      <w:numFmt w:val="bullet"/>
      <w:lvlText w:val=""/>
      <w:lvlJc w:val="left"/>
      <w:pPr>
        <w:ind w:left="5472" w:hanging="360"/>
      </w:pPr>
      <w:rPr>
        <w:rFonts w:ascii="Wingdings" w:hAnsi="Wingdings" w:hint="default"/>
      </w:rPr>
    </w:lvl>
    <w:lvl w:ilvl="6" w:tplc="04050001" w:tentative="1">
      <w:start w:val="1"/>
      <w:numFmt w:val="bullet"/>
      <w:lvlText w:val=""/>
      <w:lvlJc w:val="left"/>
      <w:pPr>
        <w:ind w:left="6192" w:hanging="360"/>
      </w:pPr>
      <w:rPr>
        <w:rFonts w:ascii="Symbol" w:hAnsi="Symbol" w:hint="default"/>
      </w:rPr>
    </w:lvl>
    <w:lvl w:ilvl="7" w:tplc="04050003" w:tentative="1">
      <w:start w:val="1"/>
      <w:numFmt w:val="bullet"/>
      <w:lvlText w:val="o"/>
      <w:lvlJc w:val="left"/>
      <w:pPr>
        <w:ind w:left="6912" w:hanging="360"/>
      </w:pPr>
      <w:rPr>
        <w:rFonts w:ascii="Courier New" w:hAnsi="Courier New" w:cs="Courier New" w:hint="default"/>
      </w:rPr>
    </w:lvl>
    <w:lvl w:ilvl="8" w:tplc="04050005" w:tentative="1">
      <w:start w:val="1"/>
      <w:numFmt w:val="bullet"/>
      <w:lvlText w:val=""/>
      <w:lvlJc w:val="left"/>
      <w:pPr>
        <w:ind w:left="7632" w:hanging="360"/>
      </w:pPr>
      <w:rPr>
        <w:rFonts w:ascii="Wingdings" w:hAnsi="Wingdings" w:hint="default"/>
      </w:rPr>
    </w:lvl>
  </w:abstractNum>
  <w:abstractNum w:abstractNumId="5" w15:restartNumberingAfterBreak="0">
    <w:nsid w:val="0C8D2661"/>
    <w:multiLevelType w:val="hybridMultilevel"/>
    <w:tmpl w:val="E5404F46"/>
    <w:lvl w:ilvl="0" w:tplc="C8FACAFC">
      <w:start w:val="1"/>
      <w:numFmt w:val="decimal"/>
      <w:lvlText w:val="%1."/>
      <w:lvlJc w:val="left"/>
      <w:pPr>
        <w:ind w:left="1428" w:hanging="360"/>
      </w:pPr>
      <w:rPr>
        <w:rFonts w:hint="default"/>
        <w:b w:val="0"/>
      </w:rPr>
    </w:lvl>
    <w:lvl w:ilvl="1" w:tplc="04050019" w:tentative="1">
      <w:start w:val="1"/>
      <w:numFmt w:val="lowerLetter"/>
      <w:lvlText w:val="%2."/>
      <w:lvlJc w:val="left"/>
      <w:pPr>
        <w:ind w:left="1428" w:hanging="360"/>
      </w:pPr>
    </w:lvl>
    <w:lvl w:ilvl="2" w:tplc="0405001B" w:tentative="1">
      <w:start w:val="1"/>
      <w:numFmt w:val="lowerRoman"/>
      <w:lvlText w:val="%3."/>
      <w:lvlJc w:val="right"/>
      <w:pPr>
        <w:ind w:left="2148" w:hanging="180"/>
      </w:pPr>
    </w:lvl>
    <w:lvl w:ilvl="3" w:tplc="0405000F" w:tentative="1">
      <w:start w:val="1"/>
      <w:numFmt w:val="decimal"/>
      <w:lvlText w:val="%4."/>
      <w:lvlJc w:val="left"/>
      <w:pPr>
        <w:ind w:left="2868" w:hanging="360"/>
      </w:pPr>
    </w:lvl>
    <w:lvl w:ilvl="4" w:tplc="04050019" w:tentative="1">
      <w:start w:val="1"/>
      <w:numFmt w:val="lowerLetter"/>
      <w:lvlText w:val="%5."/>
      <w:lvlJc w:val="left"/>
      <w:pPr>
        <w:ind w:left="3588" w:hanging="360"/>
      </w:pPr>
    </w:lvl>
    <w:lvl w:ilvl="5" w:tplc="0405001B" w:tentative="1">
      <w:start w:val="1"/>
      <w:numFmt w:val="lowerRoman"/>
      <w:lvlText w:val="%6."/>
      <w:lvlJc w:val="right"/>
      <w:pPr>
        <w:ind w:left="4308" w:hanging="180"/>
      </w:pPr>
    </w:lvl>
    <w:lvl w:ilvl="6" w:tplc="0405000F" w:tentative="1">
      <w:start w:val="1"/>
      <w:numFmt w:val="decimal"/>
      <w:lvlText w:val="%7."/>
      <w:lvlJc w:val="left"/>
      <w:pPr>
        <w:ind w:left="5028" w:hanging="360"/>
      </w:pPr>
    </w:lvl>
    <w:lvl w:ilvl="7" w:tplc="04050019" w:tentative="1">
      <w:start w:val="1"/>
      <w:numFmt w:val="lowerLetter"/>
      <w:lvlText w:val="%8."/>
      <w:lvlJc w:val="left"/>
      <w:pPr>
        <w:ind w:left="5748" w:hanging="360"/>
      </w:pPr>
    </w:lvl>
    <w:lvl w:ilvl="8" w:tplc="0405001B" w:tentative="1">
      <w:start w:val="1"/>
      <w:numFmt w:val="lowerRoman"/>
      <w:lvlText w:val="%9."/>
      <w:lvlJc w:val="right"/>
      <w:pPr>
        <w:ind w:left="6468" w:hanging="180"/>
      </w:pPr>
    </w:lvl>
  </w:abstractNum>
  <w:abstractNum w:abstractNumId="6" w15:restartNumberingAfterBreak="0">
    <w:nsid w:val="11941B1F"/>
    <w:multiLevelType w:val="multilevel"/>
    <w:tmpl w:val="3E1C3C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BC62E3"/>
    <w:multiLevelType w:val="hybridMultilevel"/>
    <w:tmpl w:val="77BCE09A"/>
    <w:lvl w:ilvl="0" w:tplc="0F625E30">
      <w:start w:val="1"/>
      <w:numFmt w:val="lowerLetter"/>
      <w:lvlText w:val="%1)"/>
      <w:lvlJc w:val="left"/>
      <w:pPr>
        <w:ind w:left="1068" w:hanging="360"/>
      </w:pPr>
      <w:rPr>
        <w:b w:val="0"/>
      </w:rPr>
    </w:lvl>
    <w:lvl w:ilvl="1" w:tplc="ECAAFA84">
      <w:start w:val="1"/>
      <w:numFmt w:val="decimal"/>
      <w:lvlText w:val="%2."/>
      <w:lvlJc w:val="left"/>
      <w:pPr>
        <w:ind w:left="1985" w:hanging="360"/>
      </w:pPr>
      <w:rPr>
        <w:rFonts w:hint="default"/>
        <w:b w:val="0"/>
        <w:color w:val="auto"/>
      </w:rPr>
    </w:lvl>
    <w:lvl w:ilvl="2" w:tplc="0405001B">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8" w15:restartNumberingAfterBreak="0">
    <w:nsid w:val="17A00FD9"/>
    <w:multiLevelType w:val="hybridMultilevel"/>
    <w:tmpl w:val="8BAEFD38"/>
    <w:lvl w:ilvl="0" w:tplc="DB724936">
      <w:start w:val="1"/>
      <w:numFmt w:val="decimal"/>
      <w:lvlText w:val="%1."/>
      <w:lvlJc w:val="left"/>
      <w:pPr>
        <w:ind w:left="1069" w:hanging="360"/>
      </w:pPr>
      <w:rPr>
        <w:rFonts w:hint="default"/>
        <w:b w:val="0"/>
      </w:rPr>
    </w:lvl>
    <w:lvl w:ilvl="1" w:tplc="8BC6AF8A">
      <w:start w:val="1"/>
      <w:numFmt w:val="upperRoman"/>
      <w:lvlText w:val="%2."/>
      <w:lvlJc w:val="left"/>
      <w:pPr>
        <w:ind w:left="1232" w:hanging="720"/>
      </w:pPr>
      <w:rPr>
        <w:rFonts w:hint="default"/>
        <w:b/>
      </w:rPr>
    </w:lvl>
    <w:lvl w:ilvl="2" w:tplc="0405001B" w:tentative="1">
      <w:start w:val="1"/>
      <w:numFmt w:val="lowerRoman"/>
      <w:lvlText w:val="%3."/>
      <w:lvlJc w:val="right"/>
      <w:pPr>
        <w:ind w:left="1592" w:hanging="180"/>
      </w:pPr>
    </w:lvl>
    <w:lvl w:ilvl="3" w:tplc="0405000F" w:tentative="1">
      <w:start w:val="1"/>
      <w:numFmt w:val="decimal"/>
      <w:lvlText w:val="%4."/>
      <w:lvlJc w:val="left"/>
      <w:pPr>
        <w:ind w:left="2312" w:hanging="360"/>
      </w:pPr>
    </w:lvl>
    <w:lvl w:ilvl="4" w:tplc="04050019" w:tentative="1">
      <w:start w:val="1"/>
      <w:numFmt w:val="lowerLetter"/>
      <w:lvlText w:val="%5."/>
      <w:lvlJc w:val="left"/>
      <w:pPr>
        <w:ind w:left="3032" w:hanging="360"/>
      </w:pPr>
    </w:lvl>
    <w:lvl w:ilvl="5" w:tplc="0405001B" w:tentative="1">
      <w:start w:val="1"/>
      <w:numFmt w:val="lowerRoman"/>
      <w:lvlText w:val="%6."/>
      <w:lvlJc w:val="right"/>
      <w:pPr>
        <w:ind w:left="3752" w:hanging="180"/>
      </w:pPr>
    </w:lvl>
    <w:lvl w:ilvl="6" w:tplc="0405000F" w:tentative="1">
      <w:start w:val="1"/>
      <w:numFmt w:val="decimal"/>
      <w:lvlText w:val="%7."/>
      <w:lvlJc w:val="left"/>
      <w:pPr>
        <w:ind w:left="4472" w:hanging="360"/>
      </w:pPr>
    </w:lvl>
    <w:lvl w:ilvl="7" w:tplc="04050019" w:tentative="1">
      <w:start w:val="1"/>
      <w:numFmt w:val="lowerLetter"/>
      <w:lvlText w:val="%8."/>
      <w:lvlJc w:val="left"/>
      <w:pPr>
        <w:ind w:left="5192" w:hanging="360"/>
      </w:pPr>
    </w:lvl>
    <w:lvl w:ilvl="8" w:tplc="0405001B" w:tentative="1">
      <w:start w:val="1"/>
      <w:numFmt w:val="lowerRoman"/>
      <w:lvlText w:val="%9."/>
      <w:lvlJc w:val="right"/>
      <w:pPr>
        <w:ind w:left="5912" w:hanging="180"/>
      </w:pPr>
    </w:lvl>
  </w:abstractNum>
  <w:abstractNum w:abstractNumId="9" w15:restartNumberingAfterBreak="0">
    <w:nsid w:val="1C262165"/>
    <w:multiLevelType w:val="hybridMultilevel"/>
    <w:tmpl w:val="7598B5CC"/>
    <w:lvl w:ilvl="0" w:tplc="DCB0DD7E">
      <w:start w:val="1"/>
      <w:numFmt w:val="lowerLetter"/>
      <w:lvlText w:val="%1)"/>
      <w:lvlJc w:val="left"/>
      <w:pPr>
        <w:ind w:left="1068" w:hanging="360"/>
      </w:pPr>
      <w:rPr>
        <w:b w:val="0"/>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0" w15:restartNumberingAfterBreak="0">
    <w:nsid w:val="1E0E30D7"/>
    <w:multiLevelType w:val="hybridMultilevel"/>
    <w:tmpl w:val="0BF2C6F2"/>
    <w:lvl w:ilvl="0" w:tplc="22CC30CA">
      <w:start w:val="1"/>
      <w:numFmt w:val="decimal"/>
      <w:lvlText w:val="%1."/>
      <w:lvlJc w:val="left"/>
      <w:pPr>
        <w:ind w:left="1152"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F29233B"/>
    <w:multiLevelType w:val="hybridMultilevel"/>
    <w:tmpl w:val="6C9E8086"/>
    <w:lvl w:ilvl="0" w:tplc="04050001">
      <w:start w:val="1"/>
      <w:numFmt w:val="bullet"/>
      <w:lvlText w:val=""/>
      <w:lvlJc w:val="left"/>
      <w:pPr>
        <w:ind w:left="1571" w:hanging="360"/>
      </w:pPr>
      <w:rPr>
        <w:rFonts w:ascii="Symbol" w:hAnsi="Symbol"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12" w15:restartNumberingAfterBreak="0">
    <w:nsid w:val="223B79A4"/>
    <w:multiLevelType w:val="hybridMultilevel"/>
    <w:tmpl w:val="A6465D02"/>
    <w:lvl w:ilvl="0" w:tplc="3EC0D612">
      <w:start w:val="1"/>
      <w:numFmt w:val="lowerLetter"/>
      <w:lvlText w:val="%1)"/>
      <w:lvlJc w:val="left"/>
      <w:pPr>
        <w:ind w:left="1068" w:hanging="360"/>
      </w:pPr>
      <w:rPr>
        <w:b w:val="0"/>
      </w:rPr>
    </w:lvl>
    <w:lvl w:ilvl="1" w:tplc="92624D68">
      <w:start w:val="1"/>
      <w:numFmt w:val="decimal"/>
      <w:lvlText w:val="%2."/>
      <w:lvlJc w:val="left"/>
      <w:pPr>
        <w:ind w:left="1788" w:hanging="360"/>
      </w:pPr>
      <w:rPr>
        <w:rFonts w:hint="default"/>
        <w:b w:val="0"/>
      </w:r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3" w15:restartNumberingAfterBreak="0">
    <w:nsid w:val="24B8601C"/>
    <w:multiLevelType w:val="hybridMultilevel"/>
    <w:tmpl w:val="89202272"/>
    <w:lvl w:ilvl="0" w:tplc="4E8A5476">
      <w:start w:val="1"/>
      <w:numFmt w:val="lowerLetter"/>
      <w:lvlText w:val="%1)"/>
      <w:lvlJc w:val="left"/>
      <w:pPr>
        <w:ind w:left="1068" w:hanging="360"/>
      </w:pPr>
      <w:rPr>
        <w:b w:val="0"/>
      </w:rPr>
    </w:lvl>
    <w:lvl w:ilvl="1" w:tplc="F58EE856">
      <w:start w:val="1"/>
      <w:numFmt w:val="decimal"/>
      <w:lvlText w:val="%2."/>
      <w:lvlJc w:val="left"/>
      <w:pPr>
        <w:ind w:left="1788" w:hanging="360"/>
      </w:pPr>
      <w:rPr>
        <w:rFonts w:hint="default"/>
        <w:b w:val="0"/>
      </w:r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4" w15:restartNumberingAfterBreak="0">
    <w:nsid w:val="261950E2"/>
    <w:multiLevelType w:val="hybridMultilevel"/>
    <w:tmpl w:val="F684B084"/>
    <w:lvl w:ilvl="0" w:tplc="04050001">
      <w:start w:val="1"/>
      <w:numFmt w:val="bullet"/>
      <w:lvlText w:val=""/>
      <w:lvlJc w:val="left"/>
      <w:pPr>
        <w:ind w:left="1335" w:hanging="360"/>
      </w:pPr>
      <w:rPr>
        <w:rFonts w:ascii="Symbol" w:hAnsi="Symbol" w:hint="default"/>
      </w:rPr>
    </w:lvl>
    <w:lvl w:ilvl="1" w:tplc="04050003">
      <w:start w:val="1"/>
      <w:numFmt w:val="bullet"/>
      <w:lvlText w:val="o"/>
      <w:lvlJc w:val="left"/>
      <w:pPr>
        <w:ind w:left="2055" w:hanging="360"/>
      </w:pPr>
      <w:rPr>
        <w:rFonts w:ascii="Courier New" w:hAnsi="Courier New" w:cs="Courier New" w:hint="default"/>
      </w:rPr>
    </w:lvl>
    <w:lvl w:ilvl="2" w:tplc="04050005">
      <w:start w:val="1"/>
      <w:numFmt w:val="bullet"/>
      <w:lvlText w:val=""/>
      <w:lvlJc w:val="left"/>
      <w:pPr>
        <w:ind w:left="2775" w:hanging="360"/>
      </w:pPr>
      <w:rPr>
        <w:rFonts w:ascii="Wingdings" w:hAnsi="Wingdings" w:hint="default"/>
      </w:rPr>
    </w:lvl>
    <w:lvl w:ilvl="3" w:tplc="04050001">
      <w:start w:val="1"/>
      <w:numFmt w:val="bullet"/>
      <w:lvlText w:val=""/>
      <w:lvlJc w:val="left"/>
      <w:pPr>
        <w:ind w:left="3495" w:hanging="360"/>
      </w:pPr>
      <w:rPr>
        <w:rFonts w:ascii="Symbol" w:hAnsi="Symbol" w:hint="default"/>
      </w:rPr>
    </w:lvl>
    <w:lvl w:ilvl="4" w:tplc="04050003" w:tentative="1">
      <w:start w:val="1"/>
      <w:numFmt w:val="bullet"/>
      <w:lvlText w:val="o"/>
      <w:lvlJc w:val="left"/>
      <w:pPr>
        <w:ind w:left="4215" w:hanging="360"/>
      </w:pPr>
      <w:rPr>
        <w:rFonts w:ascii="Courier New" w:hAnsi="Courier New" w:cs="Courier New" w:hint="default"/>
      </w:rPr>
    </w:lvl>
    <w:lvl w:ilvl="5" w:tplc="04050005" w:tentative="1">
      <w:start w:val="1"/>
      <w:numFmt w:val="bullet"/>
      <w:lvlText w:val=""/>
      <w:lvlJc w:val="left"/>
      <w:pPr>
        <w:ind w:left="4935" w:hanging="360"/>
      </w:pPr>
      <w:rPr>
        <w:rFonts w:ascii="Wingdings" w:hAnsi="Wingdings" w:hint="default"/>
      </w:rPr>
    </w:lvl>
    <w:lvl w:ilvl="6" w:tplc="04050001" w:tentative="1">
      <w:start w:val="1"/>
      <w:numFmt w:val="bullet"/>
      <w:lvlText w:val=""/>
      <w:lvlJc w:val="left"/>
      <w:pPr>
        <w:ind w:left="5655" w:hanging="360"/>
      </w:pPr>
      <w:rPr>
        <w:rFonts w:ascii="Symbol" w:hAnsi="Symbol" w:hint="default"/>
      </w:rPr>
    </w:lvl>
    <w:lvl w:ilvl="7" w:tplc="04050003" w:tentative="1">
      <w:start w:val="1"/>
      <w:numFmt w:val="bullet"/>
      <w:lvlText w:val="o"/>
      <w:lvlJc w:val="left"/>
      <w:pPr>
        <w:ind w:left="6375" w:hanging="360"/>
      </w:pPr>
      <w:rPr>
        <w:rFonts w:ascii="Courier New" w:hAnsi="Courier New" w:cs="Courier New" w:hint="default"/>
      </w:rPr>
    </w:lvl>
    <w:lvl w:ilvl="8" w:tplc="04050005" w:tentative="1">
      <w:start w:val="1"/>
      <w:numFmt w:val="bullet"/>
      <w:lvlText w:val=""/>
      <w:lvlJc w:val="left"/>
      <w:pPr>
        <w:ind w:left="7095" w:hanging="360"/>
      </w:pPr>
      <w:rPr>
        <w:rFonts w:ascii="Wingdings" w:hAnsi="Wingdings" w:hint="default"/>
      </w:rPr>
    </w:lvl>
  </w:abstractNum>
  <w:abstractNum w:abstractNumId="15" w15:restartNumberingAfterBreak="0">
    <w:nsid w:val="2EA356C3"/>
    <w:multiLevelType w:val="hybridMultilevel"/>
    <w:tmpl w:val="999458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0DF14D4"/>
    <w:multiLevelType w:val="hybridMultilevel"/>
    <w:tmpl w:val="98FEC5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23F5BE5"/>
    <w:multiLevelType w:val="hybridMultilevel"/>
    <w:tmpl w:val="366AFDD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5251CED"/>
    <w:multiLevelType w:val="hybridMultilevel"/>
    <w:tmpl w:val="6922CE08"/>
    <w:lvl w:ilvl="0" w:tplc="08E8F5C4">
      <w:start w:val="1"/>
      <w:numFmt w:val="decimal"/>
      <w:lvlText w:val="%1)"/>
      <w:lvlJc w:val="left"/>
      <w:pPr>
        <w:ind w:left="615" w:hanging="360"/>
      </w:pPr>
      <w:rPr>
        <w:rFonts w:hint="default"/>
      </w:rPr>
    </w:lvl>
    <w:lvl w:ilvl="1" w:tplc="954892F8">
      <w:start w:val="1"/>
      <w:numFmt w:val="lowerLetter"/>
      <w:lvlText w:val="%2)"/>
      <w:lvlJc w:val="left"/>
      <w:pPr>
        <w:ind w:left="1335" w:hanging="360"/>
      </w:pPr>
      <w:rPr>
        <w:rFonts w:ascii="Calibri" w:hAnsi="Calibri" w:hint="default"/>
        <w:b w:val="0"/>
        <w:sz w:val="22"/>
      </w:rPr>
    </w:lvl>
    <w:lvl w:ilvl="2" w:tplc="0405001B" w:tentative="1">
      <w:start w:val="1"/>
      <w:numFmt w:val="lowerRoman"/>
      <w:lvlText w:val="%3."/>
      <w:lvlJc w:val="right"/>
      <w:pPr>
        <w:ind w:left="2055" w:hanging="180"/>
      </w:pPr>
    </w:lvl>
    <w:lvl w:ilvl="3" w:tplc="0405000F" w:tentative="1">
      <w:start w:val="1"/>
      <w:numFmt w:val="decimal"/>
      <w:lvlText w:val="%4."/>
      <w:lvlJc w:val="left"/>
      <w:pPr>
        <w:ind w:left="2775" w:hanging="360"/>
      </w:pPr>
    </w:lvl>
    <w:lvl w:ilvl="4" w:tplc="04050019" w:tentative="1">
      <w:start w:val="1"/>
      <w:numFmt w:val="lowerLetter"/>
      <w:lvlText w:val="%5."/>
      <w:lvlJc w:val="left"/>
      <w:pPr>
        <w:ind w:left="3495" w:hanging="360"/>
      </w:pPr>
    </w:lvl>
    <w:lvl w:ilvl="5" w:tplc="0405001B" w:tentative="1">
      <w:start w:val="1"/>
      <w:numFmt w:val="lowerRoman"/>
      <w:lvlText w:val="%6."/>
      <w:lvlJc w:val="right"/>
      <w:pPr>
        <w:ind w:left="4215" w:hanging="180"/>
      </w:pPr>
    </w:lvl>
    <w:lvl w:ilvl="6" w:tplc="0405000F" w:tentative="1">
      <w:start w:val="1"/>
      <w:numFmt w:val="decimal"/>
      <w:lvlText w:val="%7."/>
      <w:lvlJc w:val="left"/>
      <w:pPr>
        <w:ind w:left="4935" w:hanging="360"/>
      </w:pPr>
    </w:lvl>
    <w:lvl w:ilvl="7" w:tplc="04050019" w:tentative="1">
      <w:start w:val="1"/>
      <w:numFmt w:val="lowerLetter"/>
      <w:lvlText w:val="%8."/>
      <w:lvlJc w:val="left"/>
      <w:pPr>
        <w:ind w:left="5655" w:hanging="360"/>
      </w:pPr>
    </w:lvl>
    <w:lvl w:ilvl="8" w:tplc="0405001B" w:tentative="1">
      <w:start w:val="1"/>
      <w:numFmt w:val="lowerRoman"/>
      <w:lvlText w:val="%9."/>
      <w:lvlJc w:val="right"/>
      <w:pPr>
        <w:ind w:left="6375" w:hanging="180"/>
      </w:pPr>
    </w:lvl>
  </w:abstractNum>
  <w:abstractNum w:abstractNumId="19" w15:restartNumberingAfterBreak="0">
    <w:nsid w:val="50FB713E"/>
    <w:multiLevelType w:val="hybridMultilevel"/>
    <w:tmpl w:val="2D1A9BEA"/>
    <w:lvl w:ilvl="0" w:tplc="04050001">
      <w:start w:val="1"/>
      <w:numFmt w:val="bullet"/>
      <w:lvlText w:val=""/>
      <w:lvlJc w:val="left"/>
      <w:pPr>
        <w:ind w:left="1776" w:hanging="360"/>
      </w:pPr>
      <w:rPr>
        <w:rFonts w:ascii="Symbol" w:hAnsi="Symbol"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20" w15:restartNumberingAfterBreak="0">
    <w:nsid w:val="552E1D04"/>
    <w:multiLevelType w:val="hybridMultilevel"/>
    <w:tmpl w:val="98FEC5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54461A9"/>
    <w:multiLevelType w:val="hybridMultilevel"/>
    <w:tmpl w:val="B7AE45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6AE25AF"/>
    <w:multiLevelType w:val="hybridMultilevel"/>
    <w:tmpl w:val="E372147C"/>
    <w:lvl w:ilvl="0" w:tplc="35DA76A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9B95B0E"/>
    <w:multiLevelType w:val="hybridMultilevel"/>
    <w:tmpl w:val="98FEC5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AEA195B"/>
    <w:multiLevelType w:val="hybridMultilevel"/>
    <w:tmpl w:val="9834688C"/>
    <w:lvl w:ilvl="0" w:tplc="04050003">
      <w:start w:val="1"/>
      <w:numFmt w:val="bullet"/>
      <w:lvlText w:val="o"/>
      <w:lvlJc w:val="left"/>
      <w:pPr>
        <w:ind w:left="2592" w:hanging="360"/>
      </w:pPr>
      <w:rPr>
        <w:rFonts w:ascii="Courier New" w:hAnsi="Courier New" w:cs="Courier New" w:hint="default"/>
      </w:rPr>
    </w:lvl>
    <w:lvl w:ilvl="1" w:tplc="04050019" w:tentative="1">
      <w:start w:val="1"/>
      <w:numFmt w:val="lowerLetter"/>
      <w:lvlText w:val="%2."/>
      <w:lvlJc w:val="left"/>
      <w:pPr>
        <w:ind w:left="3312" w:hanging="360"/>
      </w:pPr>
    </w:lvl>
    <w:lvl w:ilvl="2" w:tplc="0405001B" w:tentative="1">
      <w:start w:val="1"/>
      <w:numFmt w:val="lowerRoman"/>
      <w:lvlText w:val="%3."/>
      <w:lvlJc w:val="right"/>
      <w:pPr>
        <w:ind w:left="4032" w:hanging="180"/>
      </w:pPr>
    </w:lvl>
    <w:lvl w:ilvl="3" w:tplc="0405000F" w:tentative="1">
      <w:start w:val="1"/>
      <w:numFmt w:val="decimal"/>
      <w:lvlText w:val="%4."/>
      <w:lvlJc w:val="left"/>
      <w:pPr>
        <w:ind w:left="4752" w:hanging="360"/>
      </w:pPr>
    </w:lvl>
    <w:lvl w:ilvl="4" w:tplc="04050019" w:tentative="1">
      <w:start w:val="1"/>
      <w:numFmt w:val="lowerLetter"/>
      <w:lvlText w:val="%5."/>
      <w:lvlJc w:val="left"/>
      <w:pPr>
        <w:ind w:left="5472" w:hanging="360"/>
      </w:pPr>
    </w:lvl>
    <w:lvl w:ilvl="5" w:tplc="0405001B" w:tentative="1">
      <w:start w:val="1"/>
      <w:numFmt w:val="lowerRoman"/>
      <w:lvlText w:val="%6."/>
      <w:lvlJc w:val="right"/>
      <w:pPr>
        <w:ind w:left="6192" w:hanging="180"/>
      </w:pPr>
    </w:lvl>
    <w:lvl w:ilvl="6" w:tplc="0405000F" w:tentative="1">
      <w:start w:val="1"/>
      <w:numFmt w:val="decimal"/>
      <w:lvlText w:val="%7."/>
      <w:lvlJc w:val="left"/>
      <w:pPr>
        <w:ind w:left="6912" w:hanging="360"/>
      </w:pPr>
    </w:lvl>
    <w:lvl w:ilvl="7" w:tplc="04050019" w:tentative="1">
      <w:start w:val="1"/>
      <w:numFmt w:val="lowerLetter"/>
      <w:lvlText w:val="%8."/>
      <w:lvlJc w:val="left"/>
      <w:pPr>
        <w:ind w:left="7632" w:hanging="360"/>
      </w:pPr>
    </w:lvl>
    <w:lvl w:ilvl="8" w:tplc="0405001B" w:tentative="1">
      <w:start w:val="1"/>
      <w:numFmt w:val="lowerRoman"/>
      <w:lvlText w:val="%9."/>
      <w:lvlJc w:val="right"/>
      <w:pPr>
        <w:ind w:left="8352" w:hanging="180"/>
      </w:pPr>
    </w:lvl>
  </w:abstractNum>
  <w:abstractNum w:abstractNumId="25" w15:restartNumberingAfterBreak="0">
    <w:nsid w:val="5C7836C1"/>
    <w:multiLevelType w:val="hybridMultilevel"/>
    <w:tmpl w:val="651E942C"/>
    <w:lvl w:ilvl="0" w:tplc="3D485FDE">
      <w:start w:val="1"/>
      <w:numFmt w:val="decimal"/>
      <w:lvlText w:val="%1."/>
      <w:lvlJc w:val="left"/>
      <w:pPr>
        <w:ind w:left="1778" w:hanging="360"/>
      </w:pPr>
      <w:rPr>
        <w:rFonts w:hint="default"/>
        <w:b w:val="0"/>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6" w15:restartNumberingAfterBreak="0">
    <w:nsid w:val="5FD252E1"/>
    <w:multiLevelType w:val="hybridMultilevel"/>
    <w:tmpl w:val="442CA6F2"/>
    <w:lvl w:ilvl="0" w:tplc="441C6EC4">
      <w:start w:val="1"/>
      <w:numFmt w:val="lowerLetter"/>
      <w:lvlText w:val="%1)"/>
      <w:lvlJc w:val="left"/>
      <w:pPr>
        <w:ind w:left="1068" w:hanging="360"/>
      </w:pPr>
      <w:rPr>
        <w:b w:val="0"/>
      </w:rPr>
    </w:lvl>
    <w:lvl w:ilvl="1" w:tplc="0D96761E">
      <w:start w:val="1"/>
      <w:numFmt w:val="decimal"/>
      <w:lvlText w:val="%2."/>
      <w:lvlJc w:val="left"/>
      <w:pPr>
        <w:ind w:left="1788" w:hanging="360"/>
      </w:pPr>
      <w:rPr>
        <w:rFonts w:hint="default"/>
        <w:b/>
      </w:r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7" w15:restartNumberingAfterBreak="0">
    <w:nsid w:val="64393CD0"/>
    <w:multiLevelType w:val="hybridMultilevel"/>
    <w:tmpl w:val="B808B3EE"/>
    <w:lvl w:ilvl="0" w:tplc="A5A404FC">
      <w:numFmt w:val="bullet"/>
      <w:lvlText w:val="-"/>
      <w:lvlJc w:val="left"/>
      <w:pPr>
        <w:ind w:left="360" w:hanging="360"/>
      </w:pPr>
      <w:rPr>
        <w:rFonts w:ascii="Calibri" w:eastAsiaTheme="minorHAnsi" w:hAnsi="Calibri" w:cs="Calibri"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28" w15:restartNumberingAfterBreak="0">
    <w:nsid w:val="65A65B55"/>
    <w:multiLevelType w:val="hybridMultilevel"/>
    <w:tmpl w:val="4CD29B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EAE6B58"/>
    <w:multiLevelType w:val="multilevel"/>
    <w:tmpl w:val="DAAA66E2"/>
    <w:lvl w:ilvl="0">
      <w:start w:val="1"/>
      <w:numFmt w:val="decimal"/>
      <w:pStyle w:val="Nadpis1"/>
      <w:lvlText w:val="%1"/>
      <w:lvlJc w:val="left"/>
      <w:pPr>
        <w:ind w:left="432" w:hanging="432"/>
      </w:pPr>
      <w:rPr>
        <w:rFonts w:asciiTheme="minorHAnsi" w:hAnsiTheme="minorHAnsi" w:hint="default"/>
        <w:b/>
        <w:i w:val="0"/>
        <w:sz w:val="32"/>
        <w:szCs w:val="32"/>
      </w:rPr>
    </w:lvl>
    <w:lvl w:ilvl="1">
      <w:start w:val="1"/>
      <w:numFmt w:val="decimal"/>
      <w:pStyle w:val="Nadpis2"/>
      <w:lvlText w:val="%1.%2"/>
      <w:lvlJc w:val="left"/>
      <w:pPr>
        <w:ind w:left="576" w:hanging="576"/>
      </w:pPr>
      <w:rPr>
        <w:i w:val="0"/>
      </w:rPr>
    </w:lvl>
    <w:lvl w:ilvl="2">
      <w:start w:val="1"/>
      <w:numFmt w:val="decimal"/>
      <w:pStyle w:val="Nadpis3"/>
      <w:lvlText w:val="%1.%2.%3"/>
      <w:lvlJc w:val="left"/>
      <w:pPr>
        <w:ind w:left="720" w:hanging="720"/>
      </w:pPr>
      <w:rPr>
        <w:b/>
      </w:r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0" w15:restartNumberingAfterBreak="0">
    <w:nsid w:val="6F8C2FBF"/>
    <w:multiLevelType w:val="hybridMultilevel"/>
    <w:tmpl w:val="00040090"/>
    <w:lvl w:ilvl="0" w:tplc="E79CF3A0">
      <w:start w:val="1"/>
      <w:numFmt w:val="decimal"/>
      <w:lvlText w:val="%1."/>
      <w:lvlJc w:val="left"/>
      <w:pPr>
        <w:ind w:left="1152"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16D354F"/>
    <w:multiLevelType w:val="hybridMultilevel"/>
    <w:tmpl w:val="61C6487A"/>
    <w:lvl w:ilvl="0" w:tplc="FAF05056">
      <w:start w:val="1"/>
      <w:numFmt w:val="lowerLetter"/>
      <w:lvlText w:val="%1)"/>
      <w:lvlJc w:val="left"/>
      <w:pPr>
        <w:ind w:left="1296" w:hanging="360"/>
      </w:pPr>
      <w:rPr>
        <w:b w:val="0"/>
      </w:r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32" w15:restartNumberingAfterBreak="0">
    <w:nsid w:val="7FA77FE7"/>
    <w:multiLevelType w:val="hybridMultilevel"/>
    <w:tmpl w:val="B6A4594C"/>
    <w:lvl w:ilvl="0" w:tplc="0B90D7E6">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03404984">
    <w:abstractNumId w:val="29"/>
  </w:num>
  <w:num w:numId="2" w16cid:durableId="10181588">
    <w:abstractNumId w:val="18"/>
  </w:num>
  <w:num w:numId="3" w16cid:durableId="782774853">
    <w:abstractNumId w:val="2"/>
  </w:num>
  <w:num w:numId="4" w16cid:durableId="700863364">
    <w:abstractNumId w:val="14"/>
  </w:num>
  <w:num w:numId="5" w16cid:durableId="1113864581">
    <w:abstractNumId w:val="0"/>
  </w:num>
  <w:num w:numId="6" w16cid:durableId="1961184736">
    <w:abstractNumId w:val="7"/>
  </w:num>
  <w:num w:numId="7" w16cid:durableId="760031136">
    <w:abstractNumId w:val="31"/>
  </w:num>
  <w:num w:numId="8" w16cid:durableId="279607586">
    <w:abstractNumId w:val="19"/>
  </w:num>
  <w:num w:numId="9" w16cid:durableId="532115874">
    <w:abstractNumId w:val="12"/>
  </w:num>
  <w:num w:numId="10" w16cid:durableId="1575776435">
    <w:abstractNumId w:val="13"/>
  </w:num>
  <w:num w:numId="11" w16cid:durableId="620964860">
    <w:abstractNumId w:val="26"/>
  </w:num>
  <w:num w:numId="12" w16cid:durableId="1488211263">
    <w:abstractNumId w:val="5"/>
  </w:num>
  <w:num w:numId="13" w16cid:durableId="1667129465">
    <w:abstractNumId w:val="1"/>
  </w:num>
  <w:num w:numId="14" w16cid:durableId="1994598120">
    <w:abstractNumId w:val="21"/>
  </w:num>
  <w:num w:numId="15" w16cid:durableId="1242444347">
    <w:abstractNumId w:val="22"/>
  </w:num>
  <w:num w:numId="16" w16cid:durableId="1305086604">
    <w:abstractNumId w:val="9"/>
  </w:num>
  <w:num w:numId="17" w16cid:durableId="952177112">
    <w:abstractNumId w:val="8"/>
  </w:num>
  <w:num w:numId="18" w16cid:durableId="1919901830">
    <w:abstractNumId w:val="17"/>
  </w:num>
  <w:num w:numId="19" w16cid:durableId="676663612">
    <w:abstractNumId w:val="32"/>
  </w:num>
  <w:num w:numId="20" w16cid:durableId="1529298090">
    <w:abstractNumId w:val="4"/>
  </w:num>
  <w:num w:numId="21" w16cid:durableId="1436636221">
    <w:abstractNumId w:val="24"/>
  </w:num>
  <w:num w:numId="22" w16cid:durableId="1143622191">
    <w:abstractNumId w:val="6"/>
  </w:num>
  <w:num w:numId="23" w16cid:durableId="1183474264">
    <w:abstractNumId w:val="10"/>
  </w:num>
  <w:num w:numId="24" w16cid:durableId="1835878359">
    <w:abstractNumId w:val="25"/>
  </w:num>
  <w:num w:numId="25" w16cid:durableId="1163621880">
    <w:abstractNumId w:val="30"/>
  </w:num>
  <w:num w:numId="26" w16cid:durableId="1186402697">
    <w:abstractNumId w:val="3"/>
  </w:num>
  <w:num w:numId="27" w16cid:durableId="1954751399">
    <w:abstractNumId w:val="16"/>
  </w:num>
  <w:num w:numId="28" w16cid:durableId="562721171">
    <w:abstractNumId w:val="23"/>
  </w:num>
  <w:num w:numId="29" w16cid:durableId="1591162069">
    <w:abstractNumId w:val="11"/>
  </w:num>
  <w:num w:numId="30" w16cid:durableId="994333579">
    <w:abstractNumId w:val="20"/>
  </w:num>
  <w:num w:numId="31" w16cid:durableId="1180706151">
    <w:abstractNumId w:val="28"/>
  </w:num>
  <w:num w:numId="32" w16cid:durableId="514807223">
    <w:abstractNumId w:val="15"/>
  </w:num>
  <w:num w:numId="33" w16cid:durableId="1923295187">
    <w:abstractNumId w:val="27"/>
  </w:num>
  <w:num w:numId="34" w16cid:durableId="1605265432">
    <w:abstractNumId w:val="29"/>
  </w:num>
  <w:num w:numId="35" w16cid:durableId="299772728">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554"/>
    <w:rsid w:val="00004C1B"/>
    <w:rsid w:val="00013AC8"/>
    <w:rsid w:val="00015A20"/>
    <w:rsid w:val="00017738"/>
    <w:rsid w:val="00020211"/>
    <w:rsid w:val="00022162"/>
    <w:rsid w:val="00022801"/>
    <w:rsid w:val="00030873"/>
    <w:rsid w:val="00030C8B"/>
    <w:rsid w:val="00032047"/>
    <w:rsid w:val="00034019"/>
    <w:rsid w:val="0004152F"/>
    <w:rsid w:val="00041878"/>
    <w:rsid w:val="00044543"/>
    <w:rsid w:val="000449D3"/>
    <w:rsid w:val="000455CD"/>
    <w:rsid w:val="00045803"/>
    <w:rsid w:val="00053542"/>
    <w:rsid w:val="000536BA"/>
    <w:rsid w:val="0005443F"/>
    <w:rsid w:val="00056185"/>
    <w:rsid w:val="000563F4"/>
    <w:rsid w:val="00057E5B"/>
    <w:rsid w:val="000639BA"/>
    <w:rsid w:val="000642C2"/>
    <w:rsid w:val="00067E92"/>
    <w:rsid w:val="00071717"/>
    <w:rsid w:val="0007261C"/>
    <w:rsid w:val="0007343B"/>
    <w:rsid w:val="00073569"/>
    <w:rsid w:val="0007554C"/>
    <w:rsid w:val="00077C41"/>
    <w:rsid w:val="000816EA"/>
    <w:rsid w:val="0008193F"/>
    <w:rsid w:val="000856BF"/>
    <w:rsid w:val="00091608"/>
    <w:rsid w:val="00092691"/>
    <w:rsid w:val="0009295B"/>
    <w:rsid w:val="00093E11"/>
    <w:rsid w:val="0009674C"/>
    <w:rsid w:val="00097C5A"/>
    <w:rsid w:val="000A1D98"/>
    <w:rsid w:val="000A39CD"/>
    <w:rsid w:val="000A61A3"/>
    <w:rsid w:val="000B0CA4"/>
    <w:rsid w:val="000B5856"/>
    <w:rsid w:val="000C21B2"/>
    <w:rsid w:val="000D1997"/>
    <w:rsid w:val="000D4B4F"/>
    <w:rsid w:val="000D7791"/>
    <w:rsid w:val="000E10C5"/>
    <w:rsid w:val="000E1FAB"/>
    <w:rsid w:val="000E2EC7"/>
    <w:rsid w:val="000E3B07"/>
    <w:rsid w:val="000E66F1"/>
    <w:rsid w:val="000E7969"/>
    <w:rsid w:val="000F2321"/>
    <w:rsid w:val="000F2C0B"/>
    <w:rsid w:val="000F3445"/>
    <w:rsid w:val="000F4085"/>
    <w:rsid w:val="000F5B9E"/>
    <w:rsid w:val="000F6252"/>
    <w:rsid w:val="000F64D1"/>
    <w:rsid w:val="00100547"/>
    <w:rsid w:val="00104A98"/>
    <w:rsid w:val="00105BC1"/>
    <w:rsid w:val="0010615F"/>
    <w:rsid w:val="001064BA"/>
    <w:rsid w:val="001065FD"/>
    <w:rsid w:val="001067E5"/>
    <w:rsid w:val="0011218B"/>
    <w:rsid w:val="0011590D"/>
    <w:rsid w:val="001175AE"/>
    <w:rsid w:val="00122394"/>
    <w:rsid w:val="00122A67"/>
    <w:rsid w:val="00122FBA"/>
    <w:rsid w:val="00132CED"/>
    <w:rsid w:val="001377FC"/>
    <w:rsid w:val="0014183D"/>
    <w:rsid w:val="00141A20"/>
    <w:rsid w:val="00141C36"/>
    <w:rsid w:val="00143B7C"/>
    <w:rsid w:val="00147FB0"/>
    <w:rsid w:val="00150133"/>
    <w:rsid w:val="00150869"/>
    <w:rsid w:val="00154E5F"/>
    <w:rsid w:val="0015557B"/>
    <w:rsid w:val="001569DB"/>
    <w:rsid w:val="00157B87"/>
    <w:rsid w:val="00157DC9"/>
    <w:rsid w:val="00160B8D"/>
    <w:rsid w:val="00160F21"/>
    <w:rsid w:val="00162667"/>
    <w:rsid w:val="001631B0"/>
    <w:rsid w:val="0016788E"/>
    <w:rsid w:val="00167E55"/>
    <w:rsid w:val="00170CDC"/>
    <w:rsid w:val="001710C2"/>
    <w:rsid w:val="00175813"/>
    <w:rsid w:val="00176FED"/>
    <w:rsid w:val="001819E6"/>
    <w:rsid w:val="00183B34"/>
    <w:rsid w:val="00191C55"/>
    <w:rsid w:val="0019284D"/>
    <w:rsid w:val="00194699"/>
    <w:rsid w:val="001951C8"/>
    <w:rsid w:val="001969C2"/>
    <w:rsid w:val="00196CBB"/>
    <w:rsid w:val="00197EF9"/>
    <w:rsid w:val="001A03C5"/>
    <w:rsid w:val="001A1658"/>
    <w:rsid w:val="001A24F5"/>
    <w:rsid w:val="001A6D03"/>
    <w:rsid w:val="001B2FF7"/>
    <w:rsid w:val="001C4BD6"/>
    <w:rsid w:val="001C58B9"/>
    <w:rsid w:val="001C6D0F"/>
    <w:rsid w:val="001C7CF6"/>
    <w:rsid w:val="001D23C5"/>
    <w:rsid w:val="001D3DBF"/>
    <w:rsid w:val="001D51D0"/>
    <w:rsid w:val="001D7ACB"/>
    <w:rsid w:val="001D7DC8"/>
    <w:rsid w:val="001E1FD1"/>
    <w:rsid w:val="001E30BF"/>
    <w:rsid w:val="001E6463"/>
    <w:rsid w:val="001F003F"/>
    <w:rsid w:val="001F0B17"/>
    <w:rsid w:val="001F0E72"/>
    <w:rsid w:val="001F1A4E"/>
    <w:rsid w:val="001F45F6"/>
    <w:rsid w:val="001F6A7E"/>
    <w:rsid w:val="00200E9F"/>
    <w:rsid w:val="00206F87"/>
    <w:rsid w:val="00210305"/>
    <w:rsid w:val="00212063"/>
    <w:rsid w:val="00213739"/>
    <w:rsid w:val="00220F1C"/>
    <w:rsid w:val="00220FE0"/>
    <w:rsid w:val="002221AC"/>
    <w:rsid w:val="002231F4"/>
    <w:rsid w:val="00224874"/>
    <w:rsid w:val="002255B0"/>
    <w:rsid w:val="00225C82"/>
    <w:rsid w:val="002314A4"/>
    <w:rsid w:val="00232B7B"/>
    <w:rsid w:val="00237739"/>
    <w:rsid w:val="00242B56"/>
    <w:rsid w:val="00244877"/>
    <w:rsid w:val="00244D84"/>
    <w:rsid w:val="00250FA5"/>
    <w:rsid w:val="00253854"/>
    <w:rsid w:val="00260F1E"/>
    <w:rsid w:val="002635BD"/>
    <w:rsid w:val="00264B7E"/>
    <w:rsid w:val="00266776"/>
    <w:rsid w:val="002770CE"/>
    <w:rsid w:val="00277CF0"/>
    <w:rsid w:val="002800F8"/>
    <w:rsid w:val="00280A8B"/>
    <w:rsid w:val="00287526"/>
    <w:rsid w:val="00290C70"/>
    <w:rsid w:val="0029346F"/>
    <w:rsid w:val="002A1951"/>
    <w:rsid w:val="002A7794"/>
    <w:rsid w:val="002B391C"/>
    <w:rsid w:val="002B58E3"/>
    <w:rsid w:val="002B7F25"/>
    <w:rsid w:val="002C24D1"/>
    <w:rsid w:val="002C6295"/>
    <w:rsid w:val="002C7EEE"/>
    <w:rsid w:val="002D463A"/>
    <w:rsid w:val="002D4B06"/>
    <w:rsid w:val="002D4F22"/>
    <w:rsid w:val="002D628E"/>
    <w:rsid w:val="002E4F98"/>
    <w:rsid w:val="002E6427"/>
    <w:rsid w:val="002F43C3"/>
    <w:rsid w:val="002F53BB"/>
    <w:rsid w:val="002F5638"/>
    <w:rsid w:val="002F66CE"/>
    <w:rsid w:val="002F7C4B"/>
    <w:rsid w:val="00303383"/>
    <w:rsid w:val="00304B2C"/>
    <w:rsid w:val="003104D1"/>
    <w:rsid w:val="00311EE9"/>
    <w:rsid w:val="00315E1D"/>
    <w:rsid w:val="00317432"/>
    <w:rsid w:val="00317EE3"/>
    <w:rsid w:val="00321948"/>
    <w:rsid w:val="00327F5A"/>
    <w:rsid w:val="00331A7E"/>
    <w:rsid w:val="0033267B"/>
    <w:rsid w:val="00334D25"/>
    <w:rsid w:val="00335011"/>
    <w:rsid w:val="00335183"/>
    <w:rsid w:val="00340A13"/>
    <w:rsid w:val="00344460"/>
    <w:rsid w:val="003457B0"/>
    <w:rsid w:val="0034717D"/>
    <w:rsid w:val="00351307"/>
    <w:rsid w:val="003526E7"/>
    <w:rsid w:val="00354B32"/>
    <w:rsid w:val="003553F2"/>
    <w:rsid w:val="00362345"/>
    <w:rsid w:val="00365733"/>
    <w:rsid w:val="00365D75"/>
    <w:rsid w:val="0036662B"/>
    <w:rsid w:val="003676FE"/>
    <w:rsid w:val="00373FB1"/>
    <w:rsid w:val="00376DC6"/>
    <w:rsid w:val="00381E37"/>
    <w:rsid w:val="00382B94"/>
    <w:rsid w:val="00390D60"/>
    <w:rsid w:val="00395ECC"/>
    <w:rsid w:val="003A0E50"/>
    <w:rsid w:val="003A103D"/>
    <w:rsid w:val="003A3274"/>
    <w:rsid w:val="003A5F53"/>
    <w:rsid w:val="003A6BAC"/>
    <w:rsid w:val="003A6E58"/>
    <w:rsid w:val="003B4ED6"/>
    <w:rsid w:val="003B6905"/>
    <w:rsid w:val="003B7110"/>
    <w:rsid w:val="003C2F67"/>
    <w:rsid w:val="003C31AF"/>
    <w:rsid w:val="003D0B32"/>
    <w:rsid w:val="003D1B30"/>
    <w:rsid w:val="003D2D6E"/>
    <w:rsid w:val="003D64C8"/>
    <w:rsid w:val="003E184D"/>
    <w:rsid w:val="003E1C70"/>
    <w:rsid w:val="003E4259"/>
    <w:rsid w:val="003E5D21"/>
    <w:rsid w:val="003E6E2E"/>
    <w:rsid w:val="003F0A48"/>
    <w:rsid w:val="003F0C98"/>
    <w:rsid w:val="003F0E79"/>
    <w:rsid w:val="003F2B21"/>
    <w:rsid w:val="003F340B"/>
    <w:rsid w:val="003F3A63"/>
    <w:rsid w:val="004067DA"/>
    <w:rsid w:val="00413EEA"/>
    <w:rsid w:val="00414B2C"/>
    <w:rsid w:val="00415371"/>
    <w:rsid w:val="00416098"/>
    <w:rsid w:val="00421991"/>
    <w:rsid w:val="004219E4"/>
    <w:rsid w:val="004235D2"/>
    <w:rsid w:val="00423730"/>
    <w:rsid w:val="00423EB2"/>
    <w:rsid w:val="0042636B"/>
    <w:rsid w:val="004263D2"/>
    <w:rsid w:val="004277FF"/>
    <w:rsid w:val="004317E3"/>
    <w:rsid w:val="00432659"/>
    <w:rsid w:val="004361F4"/>
    <w:rsid w:val="00440313"/>
    <w:rsid w:val="00440938"/>
    <w:rsid w:val="0044281E"/>
    <w:rsid w:val="00442B83"/>
    <w:rsid w:val="00444325"/>
    <w:rsid w:val="00445D7B"/>
    <w:rsid w:val="0045084E"/>
    <w:rsid w:val="00452296"/>
    <w:rsid w:val="00452812"/>
    <w:rsid w:val="00452883"/>
    <w:rsid w:val="0045540C"/>
    <w:rsid w:val="00456ABD"/>
    <w:rsid w:val="004605B6"/>
    <w:rsid w:val="00460D54"/>
    <w:rsid w:val="00461F62"/>
    <w:rsid w:val="00464E45"/>
    <w:rsid w:val="00464EBC"/>
    <w:rsid w:val="00465444"/>
    <w:rsid w:val="00470895"/>
    <w:rsid w:val="00472591"/>
    <w:rsid w:val="004739B1"/>
    <w:rsid w:val="00475554"/>
    <w:rsid w:val="00475FFA"/>
    <w:rsid w:val="00481275"/>
    <w:rsid w:val="0048336B"/>
    <w:rsid w:val="004853FD"/>
    <w:rsid w:val="00485ED8"/>
    <w:rsid w:val="00486849"/>
    <w:rsid w:val="00490739"/>
    <w:rsid w:val="00491203"/>
    <w:rsid w:val="004956B9"/>
    <w:rsid w:val="0049580E"/>
    <w:rsid w:val="00497916"/>
    <w:rsid w:val="004A114F"/>
    <w:rsid w:val="004A20D2"/>
    <w:rsid w:val="004A2715"/>
    <w:rsid w:val="004A3BEB"/>
    <w:rsid w:val="004B3550"/>
    <w:rsid w:val="004B4802"/>
    <w:rsid w:val="004B5C7B"/>
    <w:rsid w:val="004C010D"/>
    <w:rsid w:val="004D2313"/>
    <w:rsid w:val="004D23AB"/>
    <w:rsid w:val="004D2EFC"/>
    <w:rsid w:val="004D686C"/>
    <w:rsid w:val="004E12F0"/>
    <w:rsid w:val="004E1D7F"/>
    <w:rsid w:val="004E4F21"/>
    <w:rsid w:val="004E7FFB"/>
    <w:rsid w:val="004F0627"/>
    <w:rsid w:val="004F3402"/>
    <w:rsid w:val="004F51B2"/>
    <w:rsid w:val="004F6026"/>
    <w:rsid w:val="00503DE6"/>
    <w:rsid w:val="0050640D"/>
    <w:rsid w:val="00506A24"/>
    <w:rsid w:val="00507702"/>
    <w:rsid w:val="005104E5"/>
    <w:rsid w:val="00512E83"/>
    <w:rsid w:val="00516234"/>
    <w:rsid w:val="005234E3"/>
    <w:rsid w:val="00524A5E"/>
    <w:rsid w:val="00525199"/>
    <w:rsid w:val="00526E06"/>
    <w:rsid w:val="005309DE"/>
    <w:rsid w:val="00532871"/>
    <w:rsid w:val="0053374E"/>
    <w:rsid w:val="00533D7F"/>
    <w:rsid w:val="00534532"/>
    <w:rsid w:val="005402BB"/>
    <w:rsid w:val="00541D66"/>
    <w:rsid w:val="0054431A"/>
    <w:rsid w:val="00551B54"/>
    <w:rsid w:val="00553E25"/>
    <w:rsid w:val="00554200"/>
    <w:rsid w:val="005542C8"/>
    <w:rsid w:val="00555758"/>
    <w:rsid w:val="005566F4"/>
    <w:rsid w:val="005570B9"/>
    <w:rsid w:val="00560A56"/>
    <w:rsid w:val="0056124C"/>
    <w:rsid w:val="005612CA"/>
    <w:rsid w:val="005636A0"/>
    <w:rsid w:val="0056500E"/>
    <w:rsid w:val="00565F91"/>
    <w:rsid w:val="00566C67"/>
    <w:rsid w:val="005708F8"/>
    <w:rsid w:val="00576DC2"/>
    <w:rsid w:val="005776F2"/>
    <w:rsid w:val="005778B6"/>
    <w:rsid w:val="00584F25"/>
    <w:rsid w:val="00585190"/>
    <w:rsid w:val="005908BD"/>
    <w:rsid w:val="00590B6C"/>
    <w:rsid w:val="00592730"/>
    <w:rsid w:val="00596450"/>
    <w:rsid w:val="005A38D2"/>
    <w:rsid w:val="005A4E1F"/>
    <w:rsid w:val="005A601F"/>
    <w:rsid w:val="005B33D6"/>
    <w:rsid w:val="005B3C36"/>
    <w:rsid w:val="005B6010"/>
    <w:rsid w:val="005B7A40"/>
    <w:rsid w:val="005C3EDA"/>
    <w:rsid w:val="005C50CE"/>
    <w:rsid w:val="005C526B"/>
    <w:rsid w:val="005D1CC4"/>
    <w:rsid w:val="005D270B"/>
    <w:rsid w:val="005D3F6C"/>
    <w:rsid w:val="005D4F45"/>
    <w:rsid w:val="005D7FF2"/>
    <w:rsid w:val="005E0AF9"/>
    <w:rsid w:val="005E1449"/>
    <w:rsid w:val="005F1C3D"/>
    <w:rsid w:val="005F524F"/>
    <w:rsid w:val="005F52EF"/>
    <w:rsid w:val="005F56B7"/>
    <w:rsid w:val="005F6BEF"/>
    <w:rsid w:val="00602032"/>
    <w:rsid w:val="00603EA3"/>
    <w:rsid w:val="00611145"/>
    <w:rsid w:val="00614A1B"/>
    <w:rsid w:val="00614A6D"/>
    <w:rsid w:val="006164E5"/>
    <w:rsid w:val="006165A4"/>
    <w:rsid w:val="00616D42"/>
    <w:rsid w:val="00617518"/>
    <w:rsid w:val="0062018B"/>
    <w:rsid w:val="0062139F"/>
    <w:rsid w:val="00625B67"/>
    <w:rsid w:val="00626B7A"/>
    <w:rsid w:val="006308A0"/>
    <w:rsid w:val="00631221"/>
    <w:rsid w:val="00632974"/>
    <w:rsid w:val="006412E7"/>
    <w:rsid w:val="0064204A"/>
    <w:rsid w:val="00646011"/>
    <w:rsid w:val="006464A6"/>
    <w:rsid w:val="00655A5F"/>
    <w:rsid w:val="00656895"/>
    <w:rsid w:val="006572F4"/>
    <w:rsid w:val="006601D9"/>
    <w:rsid w:val="00661966"/>
    <w:rsid w:val="0066204E"/>
    <w:rsid w:val="006637DE"/>
    <w:rsid w:val="0066606A"/>
    <w:rsid w:val="00667381"/>
    <w:rsid w:val="00667DC3"/>
    <w:rsid w:val="00671CF6"/>
    <w:rsid w:val="0067335E"/>
    <w:rsid w:val="0067451B"/>
    <w:rsid w:val="00674FD9"/>
    <w:rsid w:val="00677E29"/>
    <w:rsid w:val="006804C4"/>
    <w:rsid w:val="00681430"/>
    <w:rsid w:val="006823A7"/>
    <w:rsid w:val="00684AFE"/>
    <w:rsid w:val="006853CC"/>
    <w:rsid w:val="00685519"/>
    <w:rsid w:val="006866BF"/>
    <w:rsid w:val="0068693E"/>
    <w:rsid w:val="00693BA4"/>
    <w:rsid w:val="00694B2E"/>
    <w:rsid w:val="006A1004"/>
    <w:rsid w:val="006A54E4"/>
    <w:rsid w:val="006A6F00"/>
    <w:rsid w:val="006A73D8"/>
    <w:rsid w:val="006B2BF3"/>
    <w:rsid w:val="006B2D59"/>
    <w:rsid w:val="006B345C"/>
    <w:rsid w:val="006C02E6"/>
    <w:rsid w:val="006C1D75"/>
    <w:rsid w:val="006C23E7"/>
    <w:rsid w:val="006C35CC"/>
    <w:rsid w:val="006C3F83"/>
    <w:rsid w:val="006C6B60"/>
    <w:rsid w:val="006C7529"/>
    <w:rsid w:val="006D34C3"/>
    <w:rsid w:val="006D7AA5"/>
    <w:rsid w:val="006E08B2"/>
    <w:rsid w:val="006E38D7"/>
    <w:rsid w:val="006E40D6"/>
    <w:rsid w:val="006E4477"/>
    <w:rsid w:val="006E5BCA"/>
    <w:rsid w:val="006E6607"/>
    <w:rsid w:val="006F2FEF"/>
    <w:rsid w:val="006F56FB"/>
    <w:rsid w:val="007043B6"/>
    <w:rsid w:val="0070440F"/>
    <w:rsid w:val="00706401"/>
    <w:rsid w:val="00707EBF"/>
    <w:rsid w:val="00710378"/>
    <w:rsid w:val="00714762"/>
    <w:rsid w:val="00714DFB"/>
    <w:rsid w:val="007203F3"/>
    <w:rsid w:val="00722586"/>
    <w:rsid w:val="00730C30"/>
    <w:rsid w:val="0073463A"/>
    <w:rsid w:val="007374CB"/>
    <w:rsid w:val="00737C93"/>
    <w:rsid w:val="007402A6"/>
    <w:rsid w:val="00742C72"/>
    <w:rsid w:val="007437C6"/>
    <w:rsid w:val="00743936"/>
    <w:rsid w:val="0074467B"/>
    <w:rsid w:val="007448E9"/>
    <w:rsid w:val="00753E7A"/>
    <w:rsid w:val="00755318"/>
    <w:rsid w:val="0076002C"/>
    <w:rsid w:val="00763D3B"/>
    <w:rsid w:val="00766275"/>
    <w:rsid w:val="007700D3"/>
    <w:rsid w:val="007749B6"/>
    <w:rsid w:val="00776B75"/>
    <w:rsid w:val="00780AC9"/>
    <w:rsid w:val="00781CB8"/>
    <w:rsid w:val="0078497B"/>
    <w:rsid w:val="007863F5"/>
    <w:rsid w:val="007877AC"/>
    <w:rsid w:val="00790AF5"/>
    <w:rsid w:val="00793FE2"/>
    <w:rsid w:val="007A0765"/>
    <w:rsid w:val="007A15DE"/>
    <w:rsid w:val="007A1B48"/>
    <w:rsid w:val="007A1B68"/>
    <w:rsid w:val="007A738F"/>
    <w:rsid w:val="007B039B"/>
    <w:rsid w:val="007B043D"/>
    <w:rsid w:val="007B05D0"/>
    <w:rsid w:val="007B2BF1"/>
    <w:rsid w:val="007B33BC"/>
    <w:rsid w:val="007B35B6"/>
    <w:rsid w:val="007B7DE5"/>
    <w:rsid w:val="007C22D8"/>
    <w:rsid w:val="007C595F"/>
    <w:rsid w:val="007C6B8A"/>
    <w:rsid w:val="007D0A24"/>
    <w:rsid w:val="007D1AC5"/>
    <w:rsid w:val="007D4BB3"/>
    <w:rsid w:val="007E0223"/>
    <w:rsid w:val="007E3303"/>
    <w:rsid w:val="007E47D9"/>
    <w:rsid w:val="007E4EAD"/>
    <w:rsid w:val="007E59C0"/>
    <w:rsid w:val="007E60A7"/>
    <w:rsid w:val="007E64DF"/>
    <w:rsid w:val="007E69DB"/>
    <w:rsid w:val="007F03A2"/>
    <w:rsid w:val="007F24E3"/>
    <w:rsid w:val="007F3E5A"/>
    <w:rsid w:val="007F59D9"/>
    <w:rsid w:val="007F71B1"/>
    <w:rsid w:val="008008E9"/>
    <w:rsid w:val="00803FCF"/>
    <w:rsid w:val="00804D4D"/>
    <w:rsid w:val="00810D9F"/>
    <w:rsid w:val="008111EC"/>
    <w:rsid w:val="00812679"/>
    <w:rsid w:val="00813481"/>
    <w:rsid w:val="0081509E"/>
    <w:rsid w:val="00815FD8"/>
    <w:rsid w:val="00817B3E"/>
    <w:rsid w:val="00820F0E"/>
    <w:rsid w:val="0082611C"/>
    <w:rsid w:val="008262A4"/>
    <w:rsid w:val="008274DF"/>
    <w:rsid w:val="00827D46"/>
    <w:rsid w:val="00830043"/>
    <w:rsid w:val="00831449"/>
    <w:rsid w:val="00842E76"/>
    <w:rsid w:val="00845A9F"/>
    <w:rsid w:val="00845ED6"/>
    <w:rsid w:val="00856FC5"/>
    <w:rsid w:val="00860577"/>
    <w:rsid w:val="00866950"/>
    <w:rsid w:val="00867716"/>
    <w:rsid w:val="008703B5"/>
    <w:rsid w:val="008712C5"/>
    <w:rsid w:val="00872D97"/>
    <w:rsid w:val="00873CEC"/>
    <w:rsid w:val="00874602"/>
    <w:rsid w:val="0087527E"/>
    <w:rsid w:val="00877B59"/>
    <w:rsid w:val="008818F6"/>
    <w:rsid w:val="00881DF4"/>
    <w:rsid w:val="00883C9D"/>
    <w:rsid w:val="008910CB"/>
    <w:rsid w:val="008A279B"/>
    <w:rsid w:val="008A5FB0"/>
    <w:rsid w:val="008B093C"/>
    <w:rsid w:val="008B0B04"/>
    <w:rsid w:val="008B3A93"/>
    <w:rsid w:val="008C362A"/>
    <w:rsid w:val="008C4034"/>
    <w:rsid w:val="008C50A1"/>
    <w:rsid w:val="008C592E"/>
    <w:rsid w:val="008C616A"/>
    <w:rsid w:val="008C77FB"/>
    <w:rsid w:val="008D3BA4"/>
    <w:rsid w:val="008E2248"/>
    <w:rsid w:val="008E4BD2"/>
    <w:rsid w:val="008E6B76"/>
    <w:rsid w:val="008E6F10"/>
    <w:rsid w:val="008E79E7"/>
    <w:rsid w:val="008E7EE9"/>
    <w:rsid w:val="008F0592"/>
    <w:rsid w:val="008F12D1"/>
    <w:rsid w:val="0090036E"/>
    <w:rsid w:val="00900B80"/>
    <w:rsid w:val="009016C2"/>
    <w:rsid w:val="00901C0C"/>
    <w:rsid w:val="00902062"/>
    <w:rsid w:val="00902D99"/>
    <w:rsid w:val="0090575D"/>
    <w:rsid w:val="009155DB"/>
    <w:rsid w:val="009214AF"/>
    <w:rsid w:val="00922D67"/>
    <w:rsid w:val="00925FA7"/>
    <w:rsid w:val="00930724"/>
    <w:rsid w:val="00931E57"/>
    <w:rsid w:val="00940CE1"/>
    <w:rsid w:val="009504D8"/>
    <w:rsid w:val="00950BDA"/>
    <w:rsid w:val="009517C3"/>
    <w:rsid w:val="009533F3"/>
    <w:rsid w:val="00956FD5"/>
    <w:rsid w:val="009621F0"/>
    <w:rsid w:val="009627A9"/>
    <w:rsid w:val="00964CA1"/>
    <w:rsid w:val="0097018B"/>
    <w:rsid w:val="00970FE3"/>
    <w:rsid w:val="009767E3"/>
    <w:rsid w:val="00983358"/>
    <w:rsid w:val="009836A8"/>
    <w:rsid w:val="00986FE5"/>
    <w:rsid w:val="00990359"/>
    <w:rsid w:val="00991DCE"/>
    <w:rsid w:val="00992F39"/>
    <w:rsid w:val="009958AA"/>
    <w:rsid w:val="00997ECE"/>
    <w:rsid w:val="009A16C7"/>
    <w:rsid w:val="009A42E5"/>
    <w:rsid w:val="009A440D"/>
    <w:rsid w:val="009A4433"/>
    <w:rsid w:val="009A4F46"/>
    <w:rsid w:val="009A5966"/>
    <w:rsid w:val="009A7512"/>
    <w:rsid w:val="009B4D3B"/>
    <w:rsid w:val="009B5AE8"/>
    <w:rsid w:val="009B7E4E"/>
    <w:rsid w:val="009C03EC"/>
    <w:rsid w:val="009C168C"/>
    <w:rsid w:val="009C3ADE"/>
    <w:rsid w:val="009C4CD5"/>
    <w:rsid w:val="009C6BFF"/>
    <w:rsid w:val="009C7F0B"/>
    <w:rsid w:val="009D2629"/>
    <w:rsid w:val="009D33EB"/>
    <w:rsid w:val="009D4540"/>
    <w:rsid w:val="009D4824"/>
    <w:rsid w:val="009D7B0A"/>
    <w:rsid w:val="009E3AAE"/>
    <w:rsid w:val="009E401A"/>
    <w:rsid w:val="009E793A"/>
    <w:rsid w:val="009F0BCA"/>
    <w:rsid w:val="009F21A7"/>
    <w:rsid w:val="009F2338"/>
    <w:rsid w:val="009F5709"/>
    <w:rsid w:val="009F7B28"/>
    <w:rsid w:val="00A068C1"/>
    <w:rsid w:val="00A10754"/>
    <w:rsid w:val="00A12F9E"/>
    <w:rsid w:val="00A1561C"/>
    <w:rsid w:val="00A2024E"/>
    <w:rsid w:val="00A20A29"/>
    <w:rsid w:val="00A24424"/>
    <w:rsid w:val="00A2466D"/>
    <w:rsid w:val="00A24F48"/>
    <w:rsid w:val="00A24F79"/>
    <w:rsid w:val="00A252CD"/>
    <w:rsid w:val="00A310E1"/>
    <w:rsid w:val="00A314DC"/>
    <w:rsid w:val="00A329FE"/>
    <w:rsid w:val="00A34C32"/>
    <w:rsid w:val="00A35C23"/>
    <w:rsid w:val="00A3607F"/>
    <w:rsid w:val="00A3625F"/>
    <w:rsid w:val="00A450DF"/>
    <w:rsid w:val="00A50B97"/>
    <w:rsid w:val="00A524A1"/>
    <w:rsid w:val="00A60300"/>
    <w:rsid w:val="00A60A22"/>
    <w:rsid w:val="00A60E02"/>
    <w:rsid w:val="00A614B7"/>
    <w:rsid w:val="00A64EBA"/>
    <w:rsid w:val="00A66782"/>
    <w:rsid w:val="00A7497C"/>
    <w:rsid w:val="00A81433"/>
    <w:rsid w:val="00A82532"/>
    <w:rsid w:val="00A830DA"/>
    <w:rsid w:val="00A83D3B"/>
    <w:rsid w:val="00A83DCB"/>
    <w:rsid w:val="00A87C7B"/>
    <w:rsid w:val="00A905C4"/>
    <w:rsid w:val="00A90BE7"/>
    <w:rsid w:val="00A928A5"/>
    <w:rsid w:val="00A95553"/>
    <w:rsid w:val="00A963D6"/>
    <w:rsid w:val="00A96447"/>
    <w:rsid w:val="00A964C0"/>
    <w:rsid w:val="00A965D5"/>
    <w:rsid w:val="00A966FB"/>
    <w:rsid w:val="00A97A83"/>
    <w:rsid w:val="00AA3042"/>
    <w:rsid w:val="00AA343B"/>
    <w:rsid w:val="00AA59CD"/>
    <w:rsid w:val="00AA5ED1"/>
    <w:rsid w:val="00AA7124"/>
    <w:rsid w:val="00AA7365"/>
    <w:rsid w:val="00AB020C"/>
    <w:rsid w:val="00AB1051"/>
    <w:rsid w:val="00AB3BB9"/>
    <w:rsid w:val="00AB441E"/>
    <w:rsid w:val="00AB4B25"/>
    <w:rsid w:val="00AB57CF"/>
    <w:rsid w:val="00AB5F81"/>
    <w:rsid w:val="00AB6DFC"/>
    <w:rsid w:val="00AB72BF"/>
    <w:rsid w:val="00AB78BB"/>
    <w:rsid w:val="00AC0E4F"/>
    <w:rsid w:val="00AD19B0"/>
    <w:rsid w:val="00AD2215"/>
    <w:rsid w:val="00AD28F1"/>
    <w:rsid w:val="00AE2EB2"/>
    <w:rsid w:val="00AE5700"/>
    <w:rsid w:val="00AE700E"/>
    <w:rsid w:val="00AE7293"/>
    <w:rsid w:val="00AE7BC2"/>
    <w:rsid w:val="00AF0330"/>
    <w:rsid w:val="00AF0E70"/>
    <w:rsid w:val="00AF48F1"/>
    <w:rsid w:val="00B006AF"/>
    <w:rsid w:val="00B06331"/>
    <w:rsid w:val="00B11E0F"/>
    <w:rsid w:val="00B138BD"/>
    <w:rsid w:val="00B17564"/>
    <w:rsid w:val="00B21D7A"/>
    <w:rsid w:val="00B22F84"/>
    <w:rsid w:val="00B2484C"/>
    <w:rsid w:val="00B25E93"/>
    <w:rsid w:val="00B2783C"/>
    <w:rsid w:val="00B2796F"/>
    <w:rsid w:val="00B33158"/>
    <w:rsid w:val="00B34AFB"/>
    <w:rsid w:val="00B34D5E"/>
    <w:rsid w:val="00B35BEE"/>
    <w:rsid w:val="00B4321B"/>
    <w:rsid w:val="00B4488D"/>
    <w:rsid w:val="00B53192"/>
    <w:rsid w:val="00B5367A"/>
    <w:rsid w:val="00B577FB"/>
    <w:rsid w:val="00B60A57"/>
    <w:rsid w:val="00B60D2B"/>
    <w:rsid w:val="00B62156"/>
    <w:rsid w:val="00B65920"/>
    <w:rsid w:val="00B673BA"/>
    <w:rsid w:val="00B67ACF"/>
    <w:rsid w:val="00B67BC5"/>
    <w:rsid w:val="00B701C0"/>
    <w:rsid w:val="00B70238"/>
    <w:rsid w:val="00B7346F"/>
    <w:rsid w:val="00B803F7"/>
    <w:rsid w:val="00B85CBA"/>
    <w:rsid w:val="00B86D89"/>
    <w:rsid w:val="00B86E0A"/>
    <w:rsid w:val="00B90789"/>
    <w:rsid w:val="00B90A81"/>
    <w:rsid w:val="00B92CB0"/>
    <w:rsid w:val="00B94561"/>
    <w:rsid w:val="00B974EC"/>
    <w:rsid w:val="00BA05AB"/>
    <w:rsid w:val="00BA1549"/>
    <w:rsid w:val="00BA16D9"/>
    <w:rsid w:val="00BA237B"/>
    <w:rsid w:val="00BA3059"/>
    <w:rsid w:val="00BA3689"/>
    <w:rsid w:val="00BA40BE"/>
    <w:rsid w:val="00BA5A83"/>
    <w:rsid w:val="00BA7387"/>
    <w:rsid w:val="00BB120B"/>
    <w:rsid w:val="00BB18AD"/>
    <w:rsid w:val="00BB456B"/>
    <w:rsid w:val="00BB7B5A"/>
    <w:rsid w:val="00BC7262"/>
    <w:rsid w:val="00BD0F8B"/>
    <w:rsid w:val="00BD3110"/>
    <w:rsid w:val="00BD4B7C"/>
    <w:rsid w:val="00BD5D37"/>
    <w:rsid w:val="00BE3A3C"/>
    <w:rsid w:val="00BE3F72"/>
    <w:rsid w:val="00BE5EB3"/>
    <w:rsid w:val="00BE66BA"/>
    <w:rsid w:val="00BE7AAB"/>
    <w:rsid w:val="00BF19BA"/>
    <w:rsid w:val="00BF3A7A"/>
    <w:rsid w:val="00C02A6A"/>
    <w:rsid w:val="00C03507"/>
    <w:rsid w:val="00C03E1A"/>
    <w:rsid w:val="00C0489B"/>
    <w:rsid w:val="00C048A4"/>
    <w:rsid w:val="00C0599D"/>
    <w:rsid w:val="00C07CAE"/>
    <w:rsid w:val="00C15AE7"/>
    <w:rsid w:val="00C20145"/>
    <w:rsid w:val="00C209FC"/>
    <w:rsid w:val="00C23C23"/>
    <w:rsid w:val="00C267C7"/>
    <w:rsid w:val="00C26BEE"/>
    <w:rsid w:val="00C31C60"/>
    <w:rsid w:val="00C37B84"/>
    <w:rsid w:val="00C4238A"/>
    <w:rsid w:val="00C42EA0"/>
    <w:rsid w:val="00C4313C"/>
    <w:rsid w:val="00C4438E"/>
    <w:rsid w:val="00C444D8"/>
    <w:rsid w:val="00C446B1"/>
    <w:rsid w:val="00C459DE"/>
    <w:rsid w:val="00C5007F"/>
    <w:rsid w:val="00C50F0B"/>
    <w:rsid w:val="00C51B82"/>
    <w:rsid w:val="00C54941"/>
    <w:rsid w:val="00C630AE"/>
    <w:rsid w:val="00C634ED"/>
    <w:rsid w:val="00C65C3F"/>
    <w:rsid w:val="00C65DD4"/>
    <w:rsid w:val="00C66330"/>
    <w:rsid w:val="00C66373"/>
    <w:rsid w:val="00C75A8E"/>
    <w:rsid w:val="00C819C7"/>
    <w:rsid w:val="00C81CF5"/>
    <w:rsid w:val="00C8452A"/>
    <w:rsid w:val="00C90857"/>
    <w:rsid w:val="00C92F79"/>
    <w:rsid w:val="00C93632"/>
    <w:rsid w:val="00CA0F2B"/>
    <w:rsid w:val="00CA14A8"/>
    <w:rsid w:val="00CA16DC"/>
    <w:rsid w:val="00CA5463"/>
    <w:rsid w:val="00CA617B"/>
    <w:rsid w:val="00CB4977"/>
    <w:rsid w:val="00CB5A6B"/>
    <w:rsid w:val="00CB6751"/>
    <w:rsid w:val="00CC5CFE"/>
    <w:rsid w:val="00CD22F6"/>
    <w:rsid w:val="00CD592A"/>
    <w:rsid w:val="00CE5EB0"/>
    <w:rsid w:val="00CF1257"/>
    <w:rsid w:val="00CF2F46"/>
    <w:rsid w:val="00CF57D5"/>
    <w:rsid w:val="00D03DD2"/>
    <w:rsid w:val="00D0426A"/>
    <w:rsid w:val="00D07B62"/>
    <w:rsid w:val="00D10883"/>
    <w:rsid w:val="00D11426"/>
    <w:rsid w:val="00D11C38"/>
    <w:rsid w:val="00D13A45"/>
    <w:rsid w:val="00D14A0F"/>
    <w:rsid w:val="00D1686C"/>
    <w:rsid w:val="00D214B9"/>
    <w:rsid w:val="00D21A70"/>
    <w:rsid w:val="00D23686"/>
    <w:rsid w:val="00D26955"/>
    <w:rsid w:val="00D304F9"/>
    <w:rsid w:val="00D30F8F"/>
    <w:rsid w:val="00D316D4"/>
    <w:rsid w:val="00D3404C"/>
    <w:rsid w:val="00D44C7D"/>
    <w:rsid w:val="00D45067"/>
    <w:rsid w:val="00D520FB"/>
    <w:rsid w:val="00D52480"/>
    <w:rsid w:val="00D6050C"/>
    <w:rsid w:val="00D61A44"/>
    <w:rsid w:val="00D6346B"/>
    <w:rsid w:val="00D63D5B"/>
    <w:rsid w:val="00D720C1"/>
    <w:rsid w:val="00D75C27"/>
    <w:rsid w:val="00D77D09"/>
    <w:rsid w:val="00D80C8C"/>
    <w:rsid w:val="00D83264"/>
    <w:rsid w:val="00D86DEB"/>
    <w:rsid w:val="00D87656"/>
    <w:rsid w:val="00D93139"/>
    <w:rsid w:val="00DA3EF9"/>
    <w:rsid w:val="00DB2FA4"/>
    <w:rsid w:val="00DB32A5"/>
    <w:rsid w:val="00DB3CC5"/>
    <w:rsid w:val="00DB45CB"/>
    <w:rsid w:val="00DB6061"/>
    <w:rsid w:val="00DC0A14"/>
    <w:rsid w:val="00DC14C5"/>
    <w:rsid w:val="00DC1CDE"/>
    <w:rsid w:val="00DC503B"/>
    <w:rsid w:val="00DC5EA2"/>
    <w:rsid w:val="00DD7159"/>
    <w:rsid w:val="00DE23BA"/>
    <w:rsid w:val="00DE352F"/>
    <w:rsid w:val="00DE4E6A"/>
    <w:rsid w:val="00DE7948"/>
    <w:rsid w:val="00DF051C"/>
    <w:rsid w:val="00DF0EC9"/>
    <w:rsid w:val="00DF1341"/>
    <w:rsid w:val="00DF7500"/>
    <w:rsid w:val="00E03CD0"/>
    <w:rsid w:val="00E11502"/>
    <w:rsid w:val="00E15706"/>
    <w:rsid w:val="00E20F8B"/>
    <w:rsid w:val="00E226BC"/>
    <w:rsid w:val="00E23DDA"/>
    <w:rsid w:val="00E24AA4"/>
    <w:rsid w:val="00E2551F"/>
    <w:rsid w:val="00E26F10"/>
    <w:rsid w:val="00E30691"/>
    <w:rsid w:val="00E31B63"/>
    <w:rsid w:val="00E31E98"/>
    <w:rsid w:val="00E32C41"/>
    <w:rsid w:val="00E3385B"/>
    <w:rsid w:val="00E403E2"/>
    <w:rsid w:val="00E411CB"/>
    <w:rsid w:val="00E4153F"/>
    <w:rsid w:val="00E4371D"/>
    <w:rsid w:val="00E456AB"/>
    <w:rsid w:val="00E47CBB"/>
    <w:rsid w:val="00E4C12D"/>
    <w:rsid w:val="00E63E36"/>
    <w:rsid w:val="00E63FAD"/>
    <w:rsid w:val="00E652C9"/>
    <w:rsid w:val="00E70AA1"/>
    <w:rsid w:val="00E734FB"/>
    <w:rsid w:val="00E73727"/>
    <w:rsid w:val="00E75CD9"/>
    <w:rsid w:val="00E76C53"/>
    <w:rsid w:val="00E80100"/>
    <w:rsid w:val="00E8376B"/>
    <w:rsid w:val="00E86C01"/>
    <w:rsid w:val="00E905E6"/>
    <w:rsid w:val="00E913C0"/>
    <w:rsid w:val="00E93591"/>
    <w:rsid w:val="00E94586"/>
    <w:rsid w:val="00E9537E"/>
    <w:rsid w:val="00EA1D9B"/>
    <w:rsid w:val="00EA34C9"/>
    <w:rsid w:val="00EA66D4"/>
    <w:rsid w:val="00EC0D21"/>
    <w:rsid w:val="00EC1256"/>
    <w:rsid w:val="00EC30B7"/>
    <w:rsid w:val="00EC3264"/>
    <w:rsid w:val="00EC46D7"/>
    <w:rsid w:val="00EC4B0E"/>
    <w:rsid w:val="00EC5525"/>
    <w:rsid w:val="00EC6241"/>
    <w:rsid w:val="00ED38E3"/>
    <w:rsid w:val="00ED4A00"/>
    <w:rsid w:val="00EE1965"/>
    <w:rsid w:val="00EE2481"/>
    <w:rsid w:val="00EE3874"/>
    <w:rsid w:val="00EE49FE"/>
    <w:rsid w:val="00EE56AA"/>
    <w:rsid w:val="00EE56BE"/>
    <w:rsid w:val="00EF02F8"/>
    <w:rsid w:val="00EF19F1"/>
    <w:rsid w:val="00EF24B6"/>
    <w:rsid w:val="00EF2F1C"/>
    <w:rsid w:val="00F03972"/>
    <w:rsid w:val="00F06ADF"/>
    <w:rsid w:val="00F07424"/>
    <w:rsid w:val="00F07B92"/>
    <w:rsid w:val="00F11389"/>
    <w:rsid w:val="00F13957"/>
    <w:rsid w:val="00F16D25"/>
    <w:rsid w:val="00F207D3"/>
    <w:rsid w:val="00F2281E"/>
    <w:rsid w:val="00F232D2"/>
    <w:rsid w:val="00F26E6E"/>
    <w:rsid w:val="00F27242"/>
    <w:rsid w:val="00F32F5F"/>
    <w:rsid w:val="00F335BF"/>
    <w:rsid w:val="00F36253"/>
    <w:rsid w:val="00F43A4C"/>
    <w:rsid w:val="00F44B1B"/>
    <w:rsid w:val="00F45C91"/>
    <w:rsid w:val="00F509AE"/>
    <w:rsid w:val="00F547CC"/>
    <w:rsid w:val="00F55748"/>
    <w:rsid w:val="00F565D4"/>
    <w:rsid w:val="00F6008E"/>
    <w:rsid w:val="00F61C5A"/>
    <w:rsid w:val="00F6214E"/>
    <w:rsid w:val="00F635D4"/>
    <w:rsid w:val="00F63B7D"/>
    <w:rsid w:val="00F642C8"/>
    <w:rsid w:val="00F648AE"/>
    <w:rsid w:val="00F670ED"/>
    <w:rsid w:val="00F6730E"/>
    <w:rsid w:val="00F726EE"/>
    <w:rsid w:val="00F7678F"/>
    <w:rsid w:val="00F76B14"/>
    <w:rsid w:val="00F77604"/>
    <w:rsid w:val="00F77E8F"/>
    <w:rsid w:val="00F810AA"/>
    <w:rsid w:val="00F81C52"/>
    <w:rsid w:val="00F83CB8"/>
    <w:rsid w:val="00F86209"/>
    <w:rsid w:val="00F94CBB"/>
    <w:rsid w:val="00FA036B"/>
    <w:rsid w:val="00FA7D84"/>
    <w:rsid w:val="00FB166C"/>
    <w:rsid w:val="00FB18C4"/>
    <w:rsid w:val="00FB6058"/>
    <w:rsid w:val="00FB6497"/>
    <w:rsid w:val="00FC106A"/>
    <w:rsid w:val="00FC46D8"/>
    <w:rsid w:val="00FC7AA2"/>
    <w:rsid w:val="00FC7FD5"/>
    <w:rsid w:val="00FD0AAF"/>
    <w:rsid w:val="00FD0CDC"/>
    <w:rsid w:val="00FD2111"/>
    <w:rsid w:val="00FD2CEF"/>
    <w:rsid w:val="00FD3FFC"/>
    <w:rsid w:val="00FD6420"/>
    <w:rsid w:val="00FD7296"/>
    <w:rsid w:val="00FE7771"/>
    <w:rsid w:val="00FE7DCE"/>
    <w:rsid w:val="00FF0C0B"/>
    <w:rsid w:val="00FF5195"/>
    <w:rsid w:val="00FF7489"/>
    <w:rsid w:val="00FF7496"/>
    <w:rsid w:val="00FF783B"/>
    <w:rsid w:val="01511497"/>
    <w:rsid w:val="01EA6C97"/>
    <w:rsid w:val="02DEF39F"/>
    <w:rsid w:val="02E9DE1F"/>
    <w:rsid w:val="031AE0C6"/>
    <w:rsid w:val="0349B81B"/>
    <w:rsid w:val="03643289"/>
    <w:rsid w:val="03E645D0"/>
    <w:rsid w:val="04C421A3"/>
    <w:rsid w:val="04F89406"/>
    <w:rsid w:val="0538EB73"/>
    <w:rsid w:val="05797414"/>
    <w:rsid w:val="06843D56"/>
    <w:rsid w:val="068619EB"/>
    <w:rsid w:val="06F5AED2"/>
    <w:rsid w:val="06FCEB61"/>
    <w:rsid w:val="06FFC4F4"/>
    <w:rsid w:val="07D0EAEA"/>
    <w:rsid w:val="08377B41"/>
    <w:rsid w:val="0A6DFFD3"/>
    <w:rsid w:val="0AD549BE"/>
    <w:rsid w:val="0B0510C0"/>
    <w:rsid w:val="0D0EB0A7"/>
    <w:rsid w:val="0DAD13B3"/>
    <w:rsid w:val="1025A6D8"/>
    <w:rsid w:val="1039C1E1"/>
    <w:rsid w:val="126B0843"/>
    <w:rsid w:val="13CCBB2A"/>
    <w:rsid w:val="13FFB844"/>
    <w:rsid w:val="141AB6C4"/>
    <w:rsid w:val="15514815"/>
    <w:rsid w:val="15C04402"/>
    <w:rsid w:val="15DA59E2"/>
    <w:rsid w:val="167454A2"/>
    <w:rsid w:val="16E5F395"/>
    <w:rsid w:val="17E2365F"/>
    <w:rsid w:val="181905B2"/>
    <w:rsid w:val="1A338A8D"/>
    <w:rsid w:val="1AE096F6"/>
    <w:rsid w:val="1C50455B"/>
    <w:rsid w:val="1C7C6757"/>
    <w:rsid w:val="2109A042"/>
    <w:rsid w:val="213BB1F9"/>
    <w:rsid w:val="21CDB585"/>
    <w:rsid w:val="227C70DC"/>
    <w:rsid w:val="235A728A"/>
    <w:rsid w:val="24A5FA8D"/>
    <w:rsid w:val="24E7B363"/>
    <w:rsid w:val="26949DB3"/>
    <w:rsid w:val="271DDBB5"/>
    <w:rsid w:val="28879F6B"/>
    <w:rsid w:val="2940F722"/>
    <w:rsid w:val="2B850845"/>
    <w:rsid w:val="2B8B04C1"/>
    <w:rsid w:val="2BC02A81"/>
    <w:rsid w:val="2C8DF79A"/>
    <w:rsid w:val="2EB26134"/>
    <w:rsid w:val="2ECB3EC2"/>
    <w:rsid w:val="2F3866D7"/>
    <w:rsid w:val="2FB23115"/>
    <w:rsid w:val="30A7600C"/>
    <w:rsid w:val="315AE428"/>
    <w:rsid w:val="3235B76B"/>
    <w:rsid w:val="33B07A2B"/>
    <w:rsid w:val="3415A766"/>
    <w:rsid w:val="34575664"/>
    <w:rsid w:val="34D573B7"/>
    <w:rsid w:val="35CD879E"/>
    <w:rsid w:val="365EE5FB"/>
    <w:rsid w:val="36891523"/>
    <w:rsid w:val="375A1C1E"/>
    <w:rsid w:val="3773880F"/>
    <w:rsid w:val="39399BF3"/>
    <w:rsid w:val="396037F9"/>
    <w:rsid w:val="3A4FB86E"/>
    <w:rsid w:val="3B6D7241"/>
    <w:rsid w:val="3B7D4CDD"/>
    <w:rsid w:val="3DAA70BC"/>
    <w:rsid w:val="3EFB0A95"/>
    <w:rsid w:val="40F0549E"/>
    <w:rsid w:val="4242278D"/>
    <w:rsid w:val="42651C04"/>
    <w:rsid w:val="42FC7710"/>
    <w:rsid w:val="44070406"/>
    <w:rsid w:val="440ABA4D"/>
    <w:rsid w:val="4454FFF2"/>
    <w:rsid w:val="44762B0D"/>
    <w:rsid w:val="4498B260"/>
    <w:rsid w:val="45981FD9"/>
    <w:rsid w:val="47B51535"/>
    <w:rsid w:val="47D3C7DC"/>
    <w:rsid w:val="4813B1C2"/>
    <w:rsid w:val="49C21D64"/>
    <w:rsid w:val="4AED3CAF"/>
    <w:rsid w:val="4BB1B8F6"/>
    <w:rsid w:val="4BEC56F9"/>
    <w:rsid w:val="4E4C2AA2"/>
    <w:rsid w:val="4FFA86D5"/>
    <w:rsid w:val="5091E60F"/>
    <w:rsid w:val="51FA3167"/>
    <w:rsid w:val="52370CCF"/>
    <w:rsid w:val="52B20212"/>
    <w:rsid w:val="52C670F6"/>
    <w:rsid w:val="53E1EB82"/>
    <w:rsid w:val="550036E3"/>
    <w:rsid w:val="5619033F"/>
    <w:rsid w:val="57EB01B2"/>
    <w:rsid w:val="58AE5827"/>
    <w:rsid w:val="58F301B2"/>
    <w:rsid w:val="5A8EB3CC"/>
    <w:rsid w:val="5A9FBB9E"/>
    <w:rsid w:val="5B069939"/>
    <w:rsid w:val="5C8256CE"/>
    <w:rsid w:val="5E9BEA97"/>
    <w:rsid w:val="5E9F2BA3"/>
    <w:rsid w:val="605D8A20"/>
    <w:rsid w:val="606729BD"/>
    <w:rsid w:val="623CA388"/>
    <w:rsid w:val="62819888"/>
    <w:rsid w:val="63053561"/>
    <w:rsid w:val="6409157D"/>
    <w:rsid w:val="65D2571D"/>
    <w:rsid w:val="6628AF0D"/>
    <w:rsid w:val="662BBA12"/>
    <w:rsid w:val="6751597E"/>
    <w:rsid w:val="69149C25"/>
    <w:rsid w:val="6A4B0F6E"/>
    <w:rsid w:val="6C44DBC5"/>
    <w:rsid w:val="6DA3A3D8"/>
    <w:rsid w:val="6E1EF1B3"/>
    <w:rsid w:val="7112B5DB"/>
    <w:rsid w:val="7130F503"/>
    <w:rsid w:val="71A66A7B"/>
    <w:rsid w:val="71FF234F"/>
    <w:rsid w:val="73248886"/>
    <w:rsid w:val="73A96D1E"/>
    <w:rsid w:val="73B662FA"/>
    <w:rsid w:val="73CCDC23"/>
    <w:rsid w:val="7429AF85"/>
    <w:rsid w:val="7439CD7E"/>
    <w:rsid w:val="7669800F"/>
    <w:rsid w:val="77594AB4"/>
    <w:rsid w:val="781937A0"/>
    <w:rsid w:val="783096DC"/>
    <w:rsid w:val="783E4911"/>
    <w:rsid w:val="786067F1"/>
    <w:rsid w:val="79962E20"/>
    <w:rsid w:val="7A6D503B"/>
    <w:rsid w:val="7C27090B"/>
    <w:rsid w:val="7D45730B"/>
    <w:rsid w:val="7D4E61B5"/>
    <w:rsid w:val="7EC865E6"/>
    <w:rsid w:val="7F0977AE"/>
    <w:rsid w:val="7FC723B0"/>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981151"/>
  <w15:docId w15:val="{970D93B8-1AC9-407D-A68B-0F6E15FD9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uiPriority w:val="1"/>
    <w:qFormat/>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Pr>
      <w:rFonts w:eastAsiaTheme="minorEastAsia"/>
      <w:lang w:eastAsia="cs-CZ"/>
    </w:rPr>
  </w:style>
  <w:style w:type="paragraph" w:styleId="Textbubliny">
    <w:name w:val="Balloon Text"/>
    <w:basedOn w:val="Normln"/>
    <w:link w:val="TextbublinyChar"/>
    <w:uiPriority w:val="99"/>
    <w:semiHidden/>
    <w:unhideWhenUse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Pr>
      <w:rFonts w:ascii="Tahoma" w:hAnsi="Tahoma" w:cs="Tahoma"/>
      <w:sz w:val="16"/>
      <w:szCs w:val="16"/>
    </w:rPr>
  </w:style>
  <w:style w:type="character" w:customStyle="1" w:styleId="Nadpis1Char">
    <w:name w:val="Nadpis 1 Char"/>
    <w:basedOn w:val="Standardnpsmoodstavce"/>
    <w:link w:val="Nadpis1"/>
    <w:uiPriority w:val="9"/>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Pr>
      <w:rFonts w:asciiTheme="majorHAnsi" w:eastAsiaTheme="majorEastAsia" w:hAnsiTheme="majorHAnsi" w:cstheme="majorBidi"/>
      <w:b/>
      <w:bCs/>
      <w:color w:val="4F81BD" w:themeColor="accent1"/>
      <w:sz w:val="26"/>
      <w:szCs w:val="26"/>
    </w:rPr>
  </w:style>
  <w:style w:type="paragraph" w:styleId="Nadpisobsahu">
    <w:name w:val="TOC Heading"/>
    <w:basedOn w:val="Nadpis1"/>
    <w:next w:val="Normln"/>
    <w:uiPriority w:val="39"/>
    <w:unhideWhenUsed/>
    <w:qFormat/>
    <w:pPr>
      <w:outlineLvl w:val="9"/>
    </w:pPr>
    <w:rPr>
      <w:lang w:eastAsia="cs-CZ"/>
    </w:rPr>
  </w:style>
  <w:style w:type="paragraph" w:styleId="Obsah1">
    <w:name w:val="toc 1"/>
    <w:basedOn w:val="Normln"/>
    <w:next w:val="Normln"/>
    <w:autoRedefine/>
    <w:uiPriority w:val="39"/>
    <w:unhideWhenUsed/>
    <w:rsid w:val="00900B80"/>
    <w:pPr>
      <w:tabs>
        <w:tab w:val="left" w:pos="440"/>
        <w:tab w:val="right" w:leader="dot" w:pos="9060"/>
      </w:tabs>
      <w:spacing w:before="120" w:after="120"/>
      <w:jc w:val="both"/>
    </w:pPr>
  </w:style>
  <w:style w:type="character" w:styleId="Hypertextovodkaz">
    <w:name w:val="Hyperlink"/>
    <w:basedOn w:val="Standardnpsmoodstavce"/>
    <w:uiPriority w:val="99"/>
    <w:unhideWhenUsed/>
    <w:rPr>
      <w:color w:val="0000FF" w:themeColor="hyperlink"/>
      <w:u w:val="single"/>
    </w:rPr>
  </w:style>
  <w:style w:type="paragraph" w:styleId="Obsah2">
    <w:name w:val="toc 2"/>
    <w:basedOn w:val="Normln"/>
    <w:next w:val="Normln"/>
    <w:autoRedefine/>
    <w:uiPriority w:val="39"/>
    <w:unhideWhenUsed/>
    <w:pPr>
      <w:spacing w:before="60" w:after="100"/>
      <w:ind w:left="220"/>
      <w:jc w:val="both"/>
    </w:pPr>
  </w:style>
  <w:style w:type="paragraph" w:styleId="Obsah3">
    <w:name w:val="toc 3"/>
    <w:basedOn w:val="Normln"/>
    <w:next w:val="Normln"/>
    <w:autoRedefine/>
    <w:uiPriority w:val="39"/>
    <w:unhideWhenUsed/>
    <w:pPr>
      <w:spacing w:before="60" w:after="100"/>
      <w:ind w:left="440"/>
      <w:jc w:val="both"/>
    </w:pPr>
  </w:style>
  <w:style w:type="paragraph" w:styleId="Obsah4">
    <w:name w:val="toc 4"/>
    <w:basedOn w:val="Normln"/>
    <w:next w:val="Normln"/>
    <w:autoRedefine/>
    <w:uiPriority w:val="39"/>
    <w:unhideWhenUsed/>
    <w:pPr>
      <w:spacing w:before="60" w:after="100"/>
      <w:ind w:left="660"/>
      <w:jc w:val="both"/>
    </w:pPr>
  </w:style>
  <w:style w:type="character" w:customStyle="1" w:styleId="Nadpis3Char">
    <w:name w:val="Nadpis 3 Char"/>
    <w:basedOn w:val="Standardnpsmoodstavce"/>
    <w:link w:val="Nadpis3"/>
    <w:uiPriority w:val="9"/>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uiPriority w:val="9"/>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Pr>
      <w:rFonts w:asciiTheme="majorHAnsi" w:eastAsiaTheme="majorEastAsia" w:hAnsiTheme="majorHAnsi" w:cstheme="majorBidi"/>
      <w:i/>
      <w:iCs/>
      <w:color w:val="404040" w:themeColor="text1" w:themeTint="BF"/>
      <w:sz w:val="20"/>
      <w:szCs w:val="20"/>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styleId="Odstavecseseznamem">
    <w:name w:val="List Paragraph"/>
    <w:aliases w:val="Odstavec_muj,Nad,Odstavec_muj1,Odstavec_muj2,Odstavec_muj3,Nad1,List Paragraph1,Odstavec_muj4,Nad2,List Paragraph2,Odstavec_muj5,Odstavec_muj6,Odstavec_muj7,Odstavec_muj8,Odstavec_muj9,Odstavec_muj10,Odstavec_muj11"/>
    <w:basedOn w:val="Normln"/>
    <w:link w:val="OdstavecseseznamemChar"/>
    <w:uiPriority w:val="34"/>
    <w:qFormat/>
    <w:pPr>
      <w:ind w:left="720"/>
      <w:contextualSpacing/>
    </w:pPr>
  </w:style>
  <w:style w:type="paragraph" w:customStyle="1" w:styleId="nf">
    <w:name w:val="nf"/>
    <w:basedOn w:val="Normln"/>
    <w:autoRedefine/>
    <w:qFormat/>
    <w:pPr>
      <w:numPr>
        <w:numId w:val="3"/>
      </w:numPr>
      <w:spacing w:before="60" w:after="60" w:line="240" w:lineRule="auto"/>
      <w:jc w:val="both"/>
    </w:pPr>
    <w:rPr>
      <w:rFonts w:ascii="Arial" w:hAnsi="Arial" w:cs="Arial"/>
      <w:b/>
      <w:sz w:val="24"/>
      <w:szCs w:val="24"/>
    </w:r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nhideWhenUsed/>
    <w:pPr>
      <w:spacing w:line="240" w:lineRule="auto"/>
    </w:pPr>
    <w:rPr>
      <w:rFonts w:eastAsiaTheme="minorEastAsia"/>
      <w:sz w:val="20"/>
      <w:szCs w:val="20"/>
      <w:lang w:eastAsia="cs-CZ"/>
    </w:rPr>
  </w:style>
  <w:style w:type="character" w:customStyle="1" w:styleId="TextkomenteChar">
    <w:name w:val="Text komentáře Char"/>
    <w:basedOn w:val="Standardnpsmoodstavce"/>
    <w:link w:val="Textkomente"/>
    <w:rPr>
      <w:rFonts w:eastAsiaTheme="minorEastAsia"/>
      <w:sz w:val="20"/>
      <w:szCs w:val="20"/>
      <w:lang w:eastAsia="cs-CZ"/>
    </w:rPr>
  </w:style>
  <w:style w:type="paragraph" w:styleId="Pedmtkomente">
    <w:name w:val="annotation subject"/>
    <w:basedOn w:val="Textkomente"/>
    <w:next w:val="Textkomente"/>
    <w:link w:val="PedmtkomenteChar"/>
    <w:uiPriority w:val="99"/>
    <w:semiHidden/>
    <w:unhideWhenUsed/>
    <w:rPr>
      <w:rFonts w:eastAsiaTheme="minorHAnsi"/>
      <w:b/>
      <w:bCs/>
      <w:lang w:eastAsia="en-US"/>
    </w:rPr>
  </w:style>
  <w:style w:type="character" w:customStyle="1" w:styleId="PedmtkomenteChar">
    <w:name w:val="Předmět komentáře Char"/>
    <w:basedOn w:val="TextkomenteChar"/>
    <w:link w:val="Pedmtkomente"/>
    <w:uiPriority w:val="99"/>
    <w:semiHidden/>
    <w:rPr>
      <w:rFonts w:eastAsiaTheme="minorEastAsia"/>
      <w:b/>
      <w:bCs/>
      <w:sz w:val="20"/>
      <w:szCs w:val="20"/>
      <w:lang w:eastAsia="cs-CZ"/>
    </w:rPr>
  </w:style>
  <w:style w:type="table" w:styleId="Mkatabulky">
    <w:name w:val="Table Grid"/>
    <w:basedOn w:val="Normlntabulk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pPr>
      <w:tabs>
        <w:tab w:val="center" w:pos="4536"/>
        <w:tab w:val="right" w:pos="9072"/>
      </w:tabs>
      <w:spacing w:after="0" w:line="240" w:lineRule="auto"/>
    </w:pPr>
  </w:style>
  <w:style w:type="character" w:customStyle="1" w:styleId="ZhlavChar">
    <w:name w:val="Záhlaví Char"/>
    <w:basedOn w:val="Standardnpsmoodstavce"/>
    <w:link w:val="Zhlav"/>
    <w:uiPriority w:val="99"/>
  </w:style>
  <w:style w:type="paragraph" w:styleId="Zpat">
    <w:name w:val="footer"/>
    <w:basedOn w:val="Normln"/>
    <w:link w:val="ZpatChar"/>
    <w:uiPriority w:val="99"/>
    <w:unhideWhenUsed/>
    <w:pPr>
      <w:tabs>
        <w:tab w:val="center" w:pos="4536"/>
        <w:tab w:val="right" w:pos="9072"/>
      </w:tabs>
      <w:spacing w:after="0" w:line="240" w:lineRule="auto"/>
    </w:pPr>
  </w:style>
  <w:style w:type="character" w:customStyle="1" w:styleId="ZpatChar">
    <w:name w:val="Zápatí Char"/>
    <w:basedOn w:val="Standardnpsmoodstavce"/>
    <w:link w:val="Zpat"/>
    <w:uiPriority w:val="99"/>
  </w:style>
  <w:style w:type="paragraph" w:styleId="Textvysvtlivek">
    <w:name w:val="endnote text"/>
    <w:basedOn w:val="Normln"/>
    <w:link w:val="TextvysvtlivekChar"/>
    <w:uiPriority w:val="99"/>
    <w:semiHidden/>
    <w:unhideWhenUsed/>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Pr>
      <w:sz w:val="20"/>
      <w:szCs w:val="20"/>
    </w:rPr>
  </w:style>
  <w:style w:type="character" w:styleId="Odkaznavysvtlivky">
    <w:name w:val="endnote reference"/>
    <w:basedOn w:val="Standardnpsmoodstavce"/>
    <w:uiPriority w:val="99"/>
    <w:semiHidden/>
    <w:unhideWhenUsed/>
    <w:rPr>
      <w:vertAlign w:val="superscript"/>
    </w:rPr>
  </w:style>
  <w:style w:type="paragraph" w:styleId="Textpoznpodarou">
    <w:name w:val="footnote text"/>
    <w:aliases w:val="Footnote,Text poznámky pod čiarou 007,pozn. pod čarou,Schriftart: 9 pt,Schriftart: 10 pt,Schriftart: 8 pt,Podrozdział,Podrozdzia3,Fußnotentextf,Geneva 9,Font: Geneva 9,Boston 10,f"/>
    <w:basedOn w:val="Normln"/>
    <w:link w:val="TextpoznpodarouChar"/>
    <w:semiHidden/>
    <w:unhideWhenUsed/>
    <w:pPr>
      <w:spacing w:after="0" w:line="240" w:lineRule="auto"/>
    </w:pPr>
    <w:rPr>
      <w:sz w:val="20"/>
      <w:szCs w:val="20"/>
    </w:rPr>
  </w:style>
  <w:style w:type="character" w:customStyle="1" w:styleId="TextpoznpodarouChar">
    <w:name w:val="Text pozn. pod čarou Char"/>
    <w:aliases w:val="Footnote Char,Text poznámky pod čiarou 007 Char,pozn. pod čarou Char,Schriftart: 9 pt Char,Schriftart: 10 pt Char,Schriftart: 8 pt Char,Podrozdział Char,Podrozdzia3 Char,Fußnotentextf Char,Geneva 9 Char,Font: Geneva 9 Char"/>
    <w:basedOn w:val="Standardnpsmoodstavce"/>
    <w:link w:val="Textpoznpodarou"/>
    <w:semiHidden/>
    <w:rPr>
      <w:sz w:val="20"/>
      <w:szCs w:val="20"/>
    </w:rPr>
  </w:style>
  <w:style w:type="character" w:styleId="Znakapoznpodarou">
    <w:name w:val="footnote reference"/>
    <w:aliases w:val="PGI Fußnote Ziffer"/>
    <w:basedOn w:val="Standardnpsmoodstavce"/>
    <w:semiHidden/>
    <w:unhideWhenUsed/>
    <w:rPr>
      <w:vertAlign w:val="superscript"/>
    </w:rPr>
  </w:style>
  <w:style w:type="paragraph" w:styleId="Normlnweb">
    <w:name w:val="Normal (Web)"/>
    <w:basedOn w:val="Normln"/>
    <w:uiPriority w:val="99"/>
    <w:unhideWhenUse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Pr>
      <w:b/>
      <w:bCs/>
    </w:rPr>
  </w:style>
  <w:style w:type="paragraph" w:styleId="Revize">
    <w:name w:val="Revision"/>
    <w:hidden/>
    <w:uiPriority w:val="99"/>
    <w:semiHidden/>
    <w:pPr>
      <w:spacing w:after="0" w:line="240" w:lineRule="auto"/>
    </w:pPr>
  </w:style>
  <w:style w:type="character" w:styleId="Zstupntext">
    <w:name w:val="Placeholder Text"/>
    <w:basedOn w:val="Standardnpsmoodstavce"/>
    <w:uiPriority w:val="99"/>
    <w:semiHidden/>
    <w:rPr>
      <w:color w:val="808080"/>
    </w:rPr>
  </w:style>
  <w:style w:type="character" w:styleId="Zdraznn">
    <w:name w:val="Emphasis"/>
    <w:basedOn w:val="Standardnpsmoodstavce"/>
    <w:uiPriority w:val="20"/>
    <w:qFormat/>
    <w:rPr>
      <w:b/>
      <w:bCs/>
      <w:i w:val="0"/>
      <w:iCs w:val="0"/>
    </w:rPr>
  </w:style>
  <w:style w:type="character" w:customStyle="1" w:styleId="st">
    <w:name w:val="st"/>
    <w:basedOn w:val="Standardnpsmoodstavce"/>
  </w:style>
  <w:style w:type="paragraph" w:styleId="Titulek">
    <w:name w:val="caption"/>
    <w:basedOn w:val="Normln"/>
    <w:next w:val="Normln"/>
    <w:uiPriority w:val="35"/>
    <w:unhideWhenUsed/>
    <w:qFormat/>
    <w:pPr>
      <w:spacing w:line="240" w:lineRule="auto"/>
    </w:pPr>
    <w:rPr>
      <w:b/>
      <w:bCs/>
      <w:color w:val="4F81BD" w:themeColor="accent1"/>
      <w:sz w:val="18"/>
      <w:szCs w:val="18"/>
    </w:rPr>
  </w:style>
  <w:style w:type="paragraph" w:styleId="Seznamobrzk">
    <w:name w:val="table of figures"/>
    <w:basedOn w:val="Normln"/>
    <w:next w:val="Normln"/>
    <w:uiPriority w:val="99"/>
    <w:unhideWhenUsed/>
    <w:pPr>
      <w:spacing w:after="0"/>
    </w:pPr>
  </w:style>
  <w:style w:type="character" w:customStyle="1" w:styleId="OdstavecseseznamemChar">
    <w:name w:val="Odstavec se seznamem Char"/>
    <w:aliases w:val="Odstavec_muj Char,Nad Char,Odstavec_muj1 Char,Odstavec_muj2 Char,Odstavec_muj3 Char,Nad1 Char,List Paragraph1 Char,Odstavec_muj4 Char,Nad2 Char,List Paragraph2 Char,Odstavec_muj5 Char,Odstavec_muj6 Char,Odstavec_muj7 Char"/>
    <w:basedOn w:val="Standardnpsmoodstavce"/>
    <w:link w:val="Odstavecseseznamem"/>
    <w:uiPriority w:val="34"/>
  </w:style>
  <w:style w:type="paragraph" w:customStyle="1" w:styleId="Textprce">
    <w:name w:val="Text práce"/>
    <w:basedOn w:val="Normln"/>
    <w:link w:val="TextprceChar"/>
    <w:qFormat/>
    <w:rsid w:val="00B577FB"/>
    <w:pPr>
      <w:spacing w:after="160" w:line="259" w:lineRule="auto"/>
      <w:jc w:val="both"/>
    </w:pPr>
    <w:rPr>
      <w:rFonts w:ascii="Arial" w:eastAsiaTheme="minorHAnsi" w:hAnsi="Arial"/>
    </w:rPr>
  </w:style>
  <w:style w:type="character" w:customStyle="1" w:styleId="TextprceChar">
    <w:name w:val="Text práce Char"/>
    <w:basedOn w:val="Standardnpsmoodstavce"/>
    <w:link w:val="Textprce"/>
    <w:rsid w:val="00B577FB"/>
    <w:rPr>
      <w:rFonts w:ascii="Arial" w:eastAsiaTheme="minorHAnsi"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789">
      <w:bodyDiv w:val="1"/>
      <w:marLeft w:val="0"/>
      <w:marRight w:val="0"/>
      <w:marTop w:val="0"/>
      <w:marBottom w:val="0"/>
      <w:divBdr>
        <w:top w:val="none" w:sz="0" w:space="0" w:color="auto"/>
        <w:left w:val="none" w:sz="0" w:space="0" w:color="auto"/>
        <w:bottom w:val="none" w:sz="0" w:space="0" w:color="auto"/>
        <w:right w:val="none" w:sz="0" w:space="0" w:color="auto"/>
      </w:divBdr>
      <w:divsChild>
        <w:div w:id="710499725">
          <w:marLeft w:val="0"/>
          <w:marRight w:val="0"/>
          <w:marTop w:val="0"/>
          <w:marBottom w:val="0"/>
          <w:divBdr>
            <w:top w:val="none" w:sz="0" w:space="0" w:color="auto"/>
            <w:left w:val="none" w:sz="0" w:space="0" w:color="auto"/>
            <w:bottom w:val="none" w:sz="0" w:space="0" w:color="auto"/>
            <w:right w:val="none" w:sz="0" w:space="0" w:color="auto"/>
          </w:divBdr>
          <w:divsChild>
            <w:div w:id="1301303720">
              <w:marLeft w:val="0"/>
              <w:marRight w:val="0"/>
              <w:marTop w:val="0"/>
              <w:marBottom w:val="0"/>
              <w:divBdr>
                <w:top w:val="none" w:sz="0" w:space="0" w:color="auto"/>
                <w:left w:val="none" w:sz="0" w:space="0" w:color="auto"/>
                <w:bottom w:val="none" w:sz="0" w:space="0" w:color="auto"/>
                <w:right w:val="none" w:sz="0" w:space="0" w:color="auto"/>
              </w:divBdr>
              <w:divsChild>
                <w:div w:id="1491292952">
                  <w:marLeft w:val="0"/>
                  <w:marRight w:val="0"/>
                  <w:marTop w:val="0"/>
                  <w:marBottom w:val="0"/>
                  <w:divBdr>
                    <w:top w:val="none" w:sz="0" w:space="0" w:color="auto"/>
                    <w:left w:val="none" w:sz="0" w:space="0" w:color="auto"/>
                    <w:bottom w:val="none" w:sz="0" w:space="0" w:color="auto"/>
                    <w:right w:val="none" w:sz="0" w:space="0" w:color="auto"/>
                  </w:divBdr>
                  <w:divsChild>
                    <w:div w:id="129578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6895">
      <w:bodyDiv w:val="1"/>
      <w:marLeft w:val="0"/>
      <w:marRight w:val="0"/>
      <w:marTop w:val="0"/>
      <w:marBottom w:val="0"/>
      <w:divBdr>
        <w:top w:val="none" w:sz="0" w:space="0" w:color="auto"/>
        <w:left w:val="none" w:sz="0" w:space="0" w:color="auto"/>
        <w:bottom w:val="none" w:sz="0" w:space="0" w:color="auto"/>
        <w:right w:val="none" w:sz="0" w:space="0" w:color="auto"/>
      </w:divBdr>
    </w:div>
    <w:div w:id="99184866">
      <w:bodyDiv w:val="1"/>
      <w:marLeft w:val="0"/>
      <w:marRight w:val="0"/>
      <w:marTop w:val="0"/>
      <w:marBottom w:val="0"/>
      <w:divBdr>
        <w:top w:val="none" w:sz="0" w:space="0" w:color="auto"/>
        <w:left w:val="none" w:sz="0" w:space="0" w:color="auto"/>
        <w:bottom w:val="none" w:sz="0" w:space="0" w:color="auto"/>
        <w:right w:val="none" w:sz="0" w:space="0" w:color="auto"/>
      </w:divBdr>
    </w:div>
    <w:div w:id="134303613">
      <w:bodyDiv w:val="1"/>
      <w:marLeft w:val="0"/>
      <w:marRight w:val="0"/>
      <w:marTop w:val="0"/>
      <w:marBottom w:val="0"/>
      <w:divBdr>
        <w:top w:val="none" w:sz="0" w:space="0" w:color="auto"/>
        <w:left w:val="none" w:sz="0" w:space="0" w:color="auto"/>
        <w:bottom w:val="none" w:sz="0" w:space="0" w:color="auto"/>
        <w:right w:val="none" w:sz="0" w:space="0" w:color="auto"/>
      </w:divBdr>
    </w:div>
    <w:div w:id="172232039">
      <w:bodyDiv w:val="1"/>
      <w:marLeft w:val="0"/>
      <w:marRight w:val="0"/>
      <w:marTop w:val="0"/>
      <w:marBottom w:val="0"/>
      <w:divBdr>
        <w:top w:val="none" w:sz="0" w:space="0" w:color="auto"/>
        <w:left w:val="none" w:sz="0" w:space="0" w:color="auto"/>
        <w:bottom w:val="none" w:sz="0" w:space="0" w:color="auto"/>
        <w:right w:val="none" w:sz="0" w:space="0" w:color="auto"/>
      </w:divBdr>
    </w:div>
    <w:div w:id="262803574">
      <w:bodyDiv w:val="1"/>
      <w:marLeft w:val="0"/>
      <w:marRight w:val="0"/>
      <w:marTop w:val="0"/>
      <w:marBottom w:val="0"/>
      <w:divBdr>
        <w:top w:val="none" w:sz="0" w:space="0" w:color="auto"/>
        <w:left w:val="none" w:sz="0" w:space="0" w:color="auto"/>
        <w:bottom w:val="none" w:sz="0" w:space="0" w:color="auto"/>
        <w:right w:val="none" w:sz="0" w:space="0" w:color="auto"/>
      </w:divBdr>
    </w:div>
    <w:div w:id="269747671">
      <w:bodyDiv w:val="1"/>
      <w:marLeft w:val="0"/>
      <w:marRight w:val="0"/>
      <w:marTop w:val="0"/>
      <w:marBottom w:val="0"/>
      <w:divBdr>
        <w:top w:val="none" w:sz="0" w:space="0" w:color="auto"/>
        <w:left w:val="none" w:sz="0" w:space="0" w:color="auto"/>
        <w:bottom w:val="none" w:sz="0" w:space="0" w:color="auto"/>
        <w:right w:val="none" w:sz="0" w:space="0" w:color="auto"/>
      </w:divBdr>
    </w:div>
    <w:div w:id="340402660">
      <w:bodyDiv w:val="1"/>
      <w:marLeft w:val="0"/>
      <w:marRight w:val="0"/>
      <w:marTop w:val="0"/>
      <w:marBottom w:val="0"/>
      <w:divBdr>
        <w:top w:val="none" w:sz="0" w:space="0" w:color="auto"/>
        <w:left w:val="none" w:sz="0" w:space="0" w:color="auto"/>
        <w:bottom w:val="none" w:sz="0" w:space="0" w:color="auto"/>
        <w:right w:val="none" w:sz="0" w:space="0" w:color="auto"/>
      </w:divBdr>
    </w:div>
    <w:div w:id="346105136">
      <w:bodyDiv w:val="1"/>
      <w:marLeft w:val="0"/>
      <w:marRight w:val="0"/>
      <w:marTop w:val="0"/>
      <w:marBottom w:val="0"/>
      <w:divBdr>
        <w:top w:val="none" w:sz="0" w:space="0" w:color="auto"/>
        <w:left w:val="none" w:sz="0" w:space="0" w:color="auto"/>
        <w:bottom w:val="none" w:sz="0" w:space="0" w:color="auto"/>
        <w:right w:val="none" w:sz="0" w:space="0" w:color="auto"/>
      </w:divBdr>
    </w:div>
    <w:div w:id="443118894">
      <w:bodyDiv w:val="1"/>
      <w:marLeft w:val="0"/>
      <w:marRight w:val="0"/>
      <w:marTop w:val="0"/>
      <w:marBottom w:val="0"/>
      <w:divBdr>
        <w:top w:val="none" w:sz="0" w:space="0" w:color="auto"/>
        <w:left w:val="none" w:sz="0" w:space="0" w:color="auto"/>
        <w:bottom w:val="none" w:sz="0" w:space="0" w:color="auto"/>
        <w:right w:val="none" w:sz="0" w:space="0" w:color="auto"/>
      </w:divBdr>
    </w:div>
    <w:div w:id="453137046">
      <w:bodyDiv w:val="1"/>
      <w:marLeft w:val="0"/>
      <w:marRight w:val="0"/>
      <w:marTop w:val="0"/>
      <w:marBottom w:val="0"/>
      <w:divBdr>
        <w:top w:val="none" w:sz="0" w:space="0" w:color="auto"/>
        <w:left w:val="none" w:sz="0" w:space="0" w:color="auto"/>
        <w:bottom w:val="none" w:sz="0" w:space="0" w:color="auto"/>
        <w:right w:val="none" w:sz="0" w:space="0" w:color="auto"/>
      </w:divBdr>
    </w:div>
    <w:div w:id="562065677">
      <w:bodyDiv w:val="1"/>
      <w:marLeft w:val="0"/>
      <w:marRight w:val="0"/>
      <w:marTop w:val="0"/>
      <w:marBottom w:val="0"/>
      <w:divBdr>
        <w:top w:val="none" w:sz="0" w:space="0" w:color="auto"/>
        <w:left w:val="none" w:sz="0" w:space="0" w:color="auto"/>
        <w:bottom w:val="none" w:sz="0" w:space="0" w:color="auto"/>
        <w:right w:val="none" w:sz="0" w:space="0" w:color="auto"/>
      </w:divBdr>
    </w:div>
    <w:div w:id="568661484">
      <w:bodyDiv w:val="1"/>
      <w:marLeft w:val="0"/>
      <w:marRight w:val="0"/>
      <w:marTop w:val="0"/>
      <w:marBottom w:val="0"/>
      <w:divBdr>
        <w:top w:val="none" w:sz="0" w:space="0" w:color="auto"/>
        <w:left w:val="none" w:sz="0" w:space="0" w:color="auto"/>
        <w:bottom w:val="none" w:sz="0" w:space="0" w:color="auto"/>
        <w:right w:val="none" w:sz="0" w:space="0" w:color="auto"/>
      </w:divBdr>
    </w:div>
    <w:div w:id="609316084">
      <w:bodyDiv w:val="1"/>
      <w:marLeft w:val="0"/>
      <w:marRight w:val="0"/>
      <w:marTop w:val="0"/>
      <w:marBottom w:val="0"/>
      <w:divBdr>
        <w:top w:val="none" w:sz="0" w:space="0" w:color="auto"/>
        <w:left w:val="none" w:sz="0" w:space="0" w:color="auto"/>
        <w:bottom w:val="none" w:sz="0" w:space="0" w:color="auto"/>
        <w:right w:val="none" w:sz="0" w:space="0" w:color="auto"/>
      </w:divBdr>
    </w:div>
    <w:div w:id="692339909">
      <w:bodyDiv w:val="1"/>
      <w:marLeft w:val="0"/>
      <w:marRight w:val="0"/>
      <w:marTop w:val="0"/>
      <w:marBottom w:val="0"/>
      <w:divBdr>
        <w:top w:val="none" w:sz="0" w:space="0" w:color="auto"/>
        <w:left w:val="none" w:sz="0" w:space="0" w:color="auto"/>
        <w:bottom w:val="none" w:sz="0" w:space="0" w:color="auto"/>
        <w:right w:val="none" w:sz="0" w:space="0" w:color="auto"/>
      </w:divBdr>
    </w:div>
    <w:div w:id="974412391">
      <w:bodyDiv w:val="1"/>
      <w:marLeft w:val="0"/>
      <w:marRight w:val="0"/>
      <w:marTop w:val="0"/>
      <w:marBottom w:val="0"/>
      <w:divBdr>
        <w:top w:val="none" w:sz="0" w:space="0" w:color="auto"/>
        <w:left w:val="none" w:sz="0" w:space="0" w:color="auto"/>
        <w:bottom w:val="none" w:sz="0" w:space="0" w:color="auto"/>
        <w:right w:val="none" w:sz="0" w:space="0" w:color="auto"/>
      </w:divBdr>
    </w:div>
    <w:div w:id="1076248118">
      <w:bodyDiv w:val="1"/>
      <w:marLeft w:val="0"/>
      <w:marRight w:val="0"/>
      <w:marTop w:val="0"/>
      <w:marBottom w:val="0"/>
      <w:divBdr>
        <w:top w:val="none" w:sz="0" w:space="0" w:color="auto"/>
        <w:left w:val="none" w:sz="0" w:space="0" w:color="auto"/>
        <w:bottom w:val="none" w:sz="0" w:space="0" w:color="auto"/>
        <w:right w:val="none" w:sz="0" w:space="0" w:color="auto"/>
      </w:divBdr>
    </w:div>
    <w:div w:id="1266888082">
      <w:bodyDiv w:val="1"/>
      <w:marLeft w:val="0"/>
      <w:marRight w:val="0"/>
      <w:marTop w:val="0"/>
      <w:marBottom w:val="0"/>
      <w:divBdr>
        <w:top w:val="none" w:sz="0" w:space="0" w:color="auto"/>
        <w:left w:val="none" w:sz="0" w:space="0" w:color="auto"/>
        <w:bottom w:val="none" w:sz="0" w:space="0" w:color="auto"/>
        <w:right w:val="none" w:sz="0" w:space="0" w:color="auto"/>
      </w:divBdr>
      <w:divsChild>
        <w:div w:id="1500659511">
          <w:marLeft w:val="0"/>
          <w:marRight w:val="0"/>
          <w:marTop w:val="0"/>
          <w:marBottom w:val="0"/>
          <w:divBdr>
            <w:top w:val="none" w:sz="0" w:space="0" w:color="auto"/>
            <w:left w:val="none" w:sz="0" w:space="0" w:color="auto"/>
            <w:bottom w:val="none" w:sz="0" w:space="0" w:color="auto"/>
            <w:right w:val="none" w:sz="0" w:space="0" w:color="auto"/>
          </w:divBdr>
          <w:divsChild>
            <w:div w:id="195971039">
              <w:marLeft w:val="0"/>
              <w:marRight w:val="0"/>
              <w:marTop w:val="0"/>
              <w:marBottom w:val="0"/>
              <w:divBdr>
                <w:top w:val="none" w:sz="0" w:space="0" w:color="auto"/>
                <w:left w:val="none" w:sz="0" w:space="0" w:color="auto"/>
                <w:bottom w:val="none" w:sz="0" w:space="0" w:color="auto"/>
                <w:right w:val="none" w:sz="0" w:space="0" w:color="auto"/>
              </w:divBdr>
              <w:divsChild>
                <w:div w:id="7561843">
                  <w:marLeft w:val="0"/>
                  <w:marRight w:val="0"/>
                  <w:marTop w:val="0"/>
                  <w:marBottom w:val="0"/>
                  <w:divBdr>
                    <w:top w:val="none" w:sz="0" w:space="0" w:color="auto"/>
                    <w:left w:val="none" w:sz="0" w:space="0" w:color="auto"/>
                    <w:bottom w:val="none" w:sz="0" w:space="0" w:color="auto"/>
                    <w:right w:val="none" w:sz="0" w:space="0" w:color="auto"/>
                  </w:divBdr>
                  <w:divsChild>
                    <w:div w:id="1468469683">
                      <w:marLeft w:val="0"/>
                      <w:marRight w:val="0"/>
                      <w:marTop w:val="0"/>
                      <w:marBottom w:val="0"/>
                      <w:divBdr>
                        <w:top w:val="none" w:sz="0" w:space="0" w:color="auto"/>
                        <w:left w:val="none" w:sz="0" w:space="0" w:color="auto"/>
                        <w:bottom w:val="none" w:sz="0" w:space="0" w:color="auto"/>
                        <w:right w:val="none" w:sz="0" w:space="0" w:color="auto"/>
                      </w:divBdr>
                      <w:divsChild>
                        <w:div w:id="680082775">
                          <w:marLeft w:val="0"/>
                          <w:marRight w:val="0"/>
                          <w:marTop w:val="0"/>
                          <w:marBottom w:val="0"/>
                          <w:divBdr>
                            <w:top w:val="none" w:sz="0" w:space="0" w:color="auto"/>
                            <w:left w:val="none" w:sz="0" w:space="0" w:color="auto"/>
                            <w:bottom w:val="none" w:sz="0" w:space="0" w:color="auto"/>
                            <w:right w:val="none" w:sz="0" w:space="0" w:color="auto"/>
                          </w:divBdr>
                          <w:divsChild>
                            <w:div w:id="18295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603741">
      <w:bodyDiv w:val="1"/>
      <w:marLeft w:val="0"/>
      <w:marRight w:val="0"/>
      <w:marTop w:val="0"/>
      <w:marBottom w:val="0"/>
      <w:divBdr>
        <w:top w:val="none" w:sz="0" w:space="0" w:color="auto"/>
        <w:left w:val="none" w:sz="0" w:space="0" w:color="auto"/>
        <w:bottom w:val="none" w:sz="0" w:space="0" w:color="auto"/>
        <w:right w:val="none" w:sz="0" w:space="0" w:color="auto"/>
      </w:divBdr>
    </w:div>
    <w:div w:id="1389524585">
      <w:bodyDiv w:val="1"/>
      <w:marLeft w:val="0"/>
      <w:marRight w:val="0"/>
      <w:marTop w:val="0"/>
      <w:marBottom w:val="0"/>
      <w:divBdr>
        <w:top w:val="none" w:sz="0" w:space="0" w:color="auto"/>
        <w:left w:val="none" w:sz="0" w:space="0" w:color="auto"/>
        <w:bottom w:val="none" w:sz="0" w:space="0" w:color="auto"/>
        <w:right w:val="none" w:sz="0" w:space="0" w:color="auto"/>
      </w:divBdr>
    </w:div>
    <w:div w:id="1468472419">
      <w:bodyDiv w:val="1"/>
      <w:marLeft w:val="0"/>
      <w:marRight w:val="0"/>
      <w:marTop w:val="0"/>
      <w:marBottom w:val="0"/>
      <w:divBdr>
        <w:top w:val="none" w:sz="0" w:space="0" w:color="auto"/>
        <w:left w:val="none" w:sz="0" w:space="0" w:color="auto"/>
        <w:bottom w:val="none" w:sz="0" w:space="0" w:color="auto"/>
        <w:right w:val="none" w:sz="0" w:space="0" w:color="auto"/>
      </w:divBdr>
    </w:div>
    <w:div w:id="1667054474">
      <w:bodyDiv w:val="1"/>
      <w:marLeft w:val="0"/>
      <w:marRight w:val="0"/>
      <w:marTop w:val="0"/>
      <w:marBottom w:val="0"/>
      <w:divBdr>
        <w:top w:val="none" w:sz="0" w:space="0" w:color="auto"/>
        <w:left w:val="none" w:sz="0" w:space="0" w:color="auto"/>
        <w:bottom w:val="none" w:sz="0" w:space="0" w:color="auto"/>
        <w:right w:val="none" w:sz="0" w:space="0" w:color="auto"/>
      </w:divBdr>
    </w:div>
    <w:div w:id="1725521409">
      <w:bodyDiv w:val="1"/>
      <w:marLeft w:val="0"/>
      <w:marRight w:val="0"/>
      <w:marTop w:val="0"/>
      <w:marBottom w:val="0"/>
      <w:divBdr>
        <w:top w:val="none" w:sz="0" w:space="0" w:color="auto"/>
        <w:left w:val="none" w:sz="0" w:space="0" w:color="auto"/>
        <w:bottom w:val="none" w:sz="0" w:space="0" w:color="auto"/>
        <w:right w:val="none" w:sz="0" w:space="0" w:color="auto"/>
      </w:divBdr>
      <w:divsChild>
        <w:div w:id="1316690812">
          <w:marLeft w:val="0"/>
          <w:marRight w:val="0"/>
          <w:marTop w:val="0"/>
          <w:marBottom w:val="0"/>
          <w:divBdr>
            <w:top w:val="none" w:sz="0" w:space="0" w:color="auto"/>
            <w:left w:val="none" w:sz="0" w:space="0" w:color="auto"/>
            <w:bottom w:val="none" w:sz="0" w:space="0" w:color="auto"/>
            <w:right w:val="none" w:sz="0" w:space="0" w:color="auto"/>
          </w:divBdr>
          <w:divsChild>
            <w:div w:id="666635791">
              <w:marLeft w:val="0"/>
              <w:marRight w:val="0"/>
              <w:marTop w:val="0"/>
              <w:marBottom w:val="0"/>
              <w:divBdr>
                <w:top w:val="none" w:sz="0" w:space="0" w:color="auto"/>
                <w:left w:val="none" w:sz="0" w:space="0" w:color="auto"/>
                <w:bottom w:val="none" w:sz="0" w:space="0" w:color="auto"/>
                <w:right w:val="none" w:sz="0" w:space="0" w:color="auto"/>
              </w:divBdr>
              <w:divsChild>
                <w:div w:id="1846095843">
                  <w:marLeft w:val="0"/>
                  <w:marRight w:val="0"/>
                  <w:marTop w:val="0"/>
                  <w:marBottom w:val="0"/>
                  <w:divBdr>
                    <w:top w:val="none" w:sz="0" w:space="0" w:color="auto"/>
                    <w:left w:val="none" w:sz="0" w:space="0" w:color="auto"/>
                    <w:bottom w:val="none" w:sz="0" w:space="0" w:color="auto"/>
                    <w:right w:val="none" w:sz="0" w:space="0" w:color="auto"/>
                  </w:divBdr>
                  <w:divsChild>
                    <w:div w:id="161429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208569">
      <w:bodyDiv w:val="1"/>
      <w:marLeft w:val="0"/>
      <w:marRight w:val="0"/>
      <w:marTop w:val="0"/>
      <w:marBottom w:val="0"/>
      <w:divBdr>
        <w:top w:val="none" w:sz="0" w:space="0" w:color="auto"/>
        <w:left w:val="none" w:sz="0" w:space="0" w:color="auto"/>
        <w:bottom w:val="none" w:sz="0" w:space="0" w:color="auto"/>
        <w:right w:val="none" w:sz="0" w:space="0" w:color="auto"/>
      </w:divBdr>
    </w:div>
    <w:div w:id="1815246939">
      <w:bodyDiv w:val="1"/>
      <w:marLeft w:val="0"/>
      <w:marRight w:val="0"/>
      <w:marTop w:val="0"/>
      <w:marBottom w:val="0"/>
      <w:divBdr>
        <w:top w:val="none" w:sz="0" w:space="0" w:color="auto"/>
        <w:left w:val="none" w:sz="0" w:space="0" w:color="auto"/>
        <w:bottom w:val="none" w:sz="0" w:space="0" w:color="auto"/>
        <w:right w:val="none" w:sz="0" w:space="0" w:color="auto"/>
      </w:divBdr>
    </w:div>
    <w:div w:id="1853951164">
      <w:bodyDiv w:val="1"/>
      <w:marLeft w:val="0"/>
      <w:marRight w:val="0"/>
      <w:marTop w:val="0"/>
      <w:marBottom w:val="0"/>
      <w:divBdr>
        <w:top w:val="none" w:sz="0" w:space="0" w:color="auto"/>
        <w:left w:val="none" w:sz="0" w:space="0" w:color="auto"/>
        <w:bottom w:val="none" w:sz="0" w:space="0" w:color="auto"/>
        <w:right w:val="none" w:sz="0" w:space="0" w:color="auto"/>
      </w:divBdr>
    </w:div>
    <w:div w:id="1913588718">
      <w:bodyDiv w:val="1"/>
      <w:marLeft w:val="0"/>
      <w:marRight w:val="0"/>
      <w:marTop w:val="0"/>
      <w:marBottom w:val="0"/>
      <w:divBdr>
        <w:top w:val="none" w:sz="0" w:space="0" w:color="auto"/>
        <w:left w:val="none" w:sz="0" w:space="0" w:color="auto"/>
        <w:bottom w:val="none" w:sz="0" w:space="0" w:color="auto"/>
        <w:right w:val="none" w:sz="0" w:space="0" w:color="auto"/>
      </w:divBdr>
    </w:div>
    <w:div w:id="2088645384">
      <w:bodyDiv w:val="1"/>
      <w:marLeft w:val="0"/>
      <w:marRight w:val="0"/>
      <w:marTop w:val="0"/>
      <w:marBottom w:val="0"/>
      <w:divBdr>
        <w:top w:val="none" w:sz="0" w:space="0" w:color="auto"/>
        <w:left w:val="none" w:sz="0" w:space="0" w:color="auto"/>
        <w:bottom w:val="none" w:sz="0" w:space="0" w:color="auto"/>
        <w:right w:val="none" w:sz="0" w:space="0" w:color="auto"/>
      </w:divBdr>
    </w:div>
    <w:div w:id="2104958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footnotes" Target="footnotes.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kissos.cz" TargetMode="Externa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webSettings" Target="webSettings.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settings" Target="settings.xm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styles" Target="styles.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numbering" Target="numbering.xm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Dokument" ma:contentTypeID="0x01010024AD74B9132E8A4385F0E7733EA8FFDB" ma:contentTypeVersion="12" ma:contentTypeDescription="Vytvoří nový dokument" ma:contentTypeScope="" ma:versionID="9ffe0f49cf6e9f6ca6094fe414c1c1f1">
  <xsd:schema xmlns:xsd="http://www.w3.org/2001/XMLSchema" xmlns:xs="http://www.w3.org/2001/XMLSchema" xmlns:p="http://schemas.microsoft.com/office/2006/metadata/properties" xmlns:ns2="032f908f-5096-4fa2-bf41-ca633f3dd876" xmlns:ns3="45b1d7ae-f76f-4ff8-aa78-40fb17dea6ad" targetNamespace="http://schemas.microsoft.com/office/2006/metadata/properties" ma:root="true" ma:fieldsID="bfd9fae79881ac1c666db9394f47dd17" ns2:_="" ns3:_="">
    <xsd:import namespace="032f908f-5096-4fa2-bf41-ca633f3dd876"/>
    <xsd:import namespace="45b1d7ae-f76f-4ff8-aa78-40fb17dea6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2f908f-5096-4fa2-bf41-ca633f3dd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ů" ma:readOnly="false" ma:fieldId="{5cf76f15-5ced-4ddc-b409-7134ff3c332f}" ma:taxonomyMulti="true" ma:sspId="39a9a07a-5ba3-4aab-86cd-34a39f79b64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b1d7ae-f76f-4ff8-aa78-40fb17dea6a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ba6510-abe6-48f4-9367-5e0d85c73f6b}" ma:internalName="TaxCatchAll" ma:showField="CatchAllData" ma:web="45b1d7ae-f76f-4ff8-aa78-40fb17dea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p:properties xmlns:p="http://schemas.microsoft.com/office/2006/metadata/properties" xmlns:xsi="http://www.w3.org/2001/XMLSchema-instance" xmlns:pc="http://schemas.microsoft.com/office/infopath/2007/PartnerControls">
  <documentManagement>
    <TaxCatchAll xmlns="45b1d7ae-f76f-4ff8-aa78-40fb17dea6ad" xsi:nil="true"/>
    <lcf76f155ced4ddcb4097134ff3c332f xmlns="032f908f-5096-4fa2-bf41-ca633f3dd876">
      <Terms xmlns="http://schemas.microsoft.com/office/infopath/2007/PartnerControls"/>
    </lcf76f155ced4ddcb4097134ff3c332f>
  </documentManagement>
</p:properties>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1B31AA-4189-440E-AC62-52FFAC473804}">
  <ds:schemaRefs>
    <ds:schemaRef ds:uri="http://schemas.openxmlformats.org/officeDocument/2006/bibliography"/>
  </ds:schemaRefs>
</ds:datastoreItem>
</file>

<file path=customXml/itemProps3.xml><?xml version="1.0" encoding="utf-8"?>
<ds:datastoreItem xmlns:ds="http://schemas.openxmlformats.org/officeDocument/2006/customXml" ds:itemID="{BDBBE53D-B838-448D-B4F2-796A7EECB97E}">
  <ds:schemaRefs>
    <ds:schemaRef ds:uri="http://schemas.openxmlformats.org/officeDocument/2006/bibliography"/>
  </ds:schemaRefs>
</ds:datastoreItem>
</file>

<file path=customXml/itemProps4.xml><?xml version="1.0" encoding="utf-8"?>
<ds:datastoreItem xmlns:ds="http://schemas.openxmlformats.org/officeDocument/2006/customXml" ds:itemID="{8E8DBC7D-134B-465D-9C5E-D1788D72849B}">
  <ds:schemaRefs>
    <ds:schemaRef ds:uri="http://schemas.openxmlformats.org/officeDocument/2006/bibliography"/>
  </ds:schemaRefs>
</ds:datastoreItem>
</file>

<file path=customXml/itemProps5.xml><?xml version="1.0" encoding="utf-8"?>
<ds:datastoreItem xmlns:ds="http://schemas.openxmlformats.org/officeDocument/2006/customXml" ds:itemID="{F7F5DF31-F459-4394-B336-B4F2A7828C79}">
  <ds:schemaRefs>
    <ds:schemaRef ds:uri="http://schemas.openxmlformats.org/officeDocument/2006/bibliography"/>
  </ds:schemaRefs>
</ds:datastoreItem>
</file>

<file path=customXml/itemProps6.xml><?xml version="1.0" encoding="utf-8"?>
<ds:datastoreItem xmlns:ds="http://schemas.openxmlformats.org/officeDocument/2006/customXml" ds:itemID="{49123DC0-12C8-483E-84EE-3CC4A7F26D73}">
  <ds:schemaRefs>
    <ds:schemaRef ds:uri="http://schemas.openxmlformats.org/officeDocument/2006/bibliography"/>
  </ds:schemaRefs>
</ds:datastoreItem>
</file>

<file path=customXml/itemProps7.xml><?xml version="1.0" encoding="utf-8"?>
<ds:datastoreItem xmlns:ds="http://schemas.openxmlformats.org/officeDocument/2006/customXml" ds:itemID="{9473E6B4-0C59-421D-BFAB-A3514A8B5229}"/>
</file>

<file path=customXml/itemProps8.xml><?xml version="1.0" encoding="utf-8"?>
<ds:datastoreItem xmlns:ds="http://schemas.openxmlformats.org/officeDocument/2006/customXml" ds:itemID="{2344EB6D-D3AB-4C80-BCA2-04222AE37755}">
  <ds:schemaRefs>
    <ds:schemaRef ds:uri="http://schemas.openxmlformats.org/officeDocument/2006/bibliography"/>
  </ds:schemaRefs>
</ds:datastoreItem>
</file>

<file path=customXml/itemProps9.xml><?xml version="1.0" encoding="utf-8"?>
<ds:datastoreItem xmlns:ds="http://schemas.openxmlformats.org/officeDocument/2006/customXml" ds:itemID="{A90904DB-72FC-464B-9D45-27858249107E}">
  <ds:schemaRefs>
    <ds:schemaRef ds:uri="http://schemas.microsoft.com/sharepoint/v3/contenttype/forms"/>
  </ds:schemaRefs>
</ds:datastoreItem>
</file>

<file path=customXml/itemProps10.xml><?xml version="1.0" encoding="utf-8"?>
<ds:datastoreItem xmlns:ds="http://schemas.openxmlformats.org/officeDocument/2006/customXml" ds:itemID="{29457235-BE4B-4952-AAE0-02957BBBBF93}">
  <ds:schemaRefs>
    <ds:schemaRef ds:uri="http://schemas.microsoft.com/office/2006/metadata/properties"/>
    <ds:schemaRef ds:uri="http://schemas.microsoft.com/office/infopath/2007/PartnerControls"/>
  </ds:schemaRefs>
</ds:datastoreItem>
</file>

<file path=customXml/itemProps11.xml><?xml version="1.0" encoding="utf-8"?>
<ds:datastoreItem xmlns:ds="http://schemas.openxmlformats.org/officeDocument/2006/customXml" ds:itemID="{41663162-61FB-4C9F-9740-72CEFB938D0E}">
  <ds:schemaRefs>
    <ds:schemaRef ds:uri="http://schemas.openxmlformats.org/officeDocument/2006/bibliography"/>
  </ds:schemaRefs>
</ds:datastoreItem>
</file>

<file path=customXml/itemProps12.xml><?xml version="1.0" encoding="utf-8"?>
<ds:datastoreItem xmlns:ds="http://schemas.openxmlformats.org/officeDocument/2006/customXml" ds:itemID="{91F8341D-8337-4957-9D1E-2C78F2C2C174}">
  <ds:schemaRefs>
    <ds:schemaRef ds:uri="http://schemas.openxmlformats.org/officeDocument/2006/bibliography"/>
  </ds:schemaRefs>
</ds:datastoreItem>
</file>

<file path=customXml/itemProps13.xml><?xml version="1.0" encoding="utf-8"?>
<ds:datastoreItem xmlns:ds="http://schemas.openxmlformats.org/officeDocument/2006/customXml" ds:itemID="{6F9E1FA2-04B3-4CC9-8D1A-0D80475BF34E}">
  <ds:schemaRefs>
    <ds:schemaRef ds:uri="http://schemas.openxmlformats.org/officeDocument/2006/bibliography"/>
  </ds:schemaRefs>
</ds:datastoreItem>
</file>

<file path=docMetadata/LabelInfo.xml><?xml version="1.0" encoding="utf-8"?>
<clbl:labelList xmlns:clbl="http://schemas.microsoft.com/office/2020/mipLabelMetadata">
  <clbl:label id="{0a2781bb-a8b3-4544-a47e-42c6ab77c484}" enabled="0" method="" siteId="{0a2781bb-a8b3-4544-a47e-42c6ab77c484}"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49</Pages>
  <Words>14240</Words>
  <Characters>84021</Characters>
  <Application>Microsoft Office Word</Application>
  <DocSecurity>0</DocSecurity>
  <Lines>700</Lines>
  <Paragraphs>196</Paragraphs>
  <ScaleCrop>false</ScaleCrop>
  <HeadingPairs>
    <vt:vector size="2" baseType="variant">
      <vt:variant>
        <vt:lpstr>Název</vt:lpstr>
      </vt:variant>
      <vt:variant>
        <vt:i4>1</vt:i4>
      </vt:variant>
    </vt:vector>
  </HeadingPairs>
  <TitlesOfParts>
    <vt:vector size="1" baseType="lpstr">
      <vt:lpstr>Podmínky pro stanovení vyrovnávací platby a finanční podpory sociálních služeb ve Zlínském kraji</vt:lpstr>
    </vt:vector>
  </TitlesOfParts>
  <Company>rajský úřad Zlínského kraje</Company>
  <LinksUpToDate>false</LinksUpToDate>
  <CharactersWithSpaces>98065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Podmínky pro stanovení vyrovnávací platby a finanční podpory sociálních služeb ve Zlínském kraji</dc:title>
  <dc:subject/>
  <dc:creator>Odbor sociálních věcí KÚZK</dc:creator>
  <cp:keywords/>
  <cp:lastModifiedBy>Matoška Martin</cp:lastModifiedBy>
  <cp:revision>2</cp:revision>
  <cp:lastPrinted>2026-05-20T08:45:00Z</cp:lastPrinted>
  <dcterms:created xsi:type="dcterms:W3CDTF">2026-06-09T12:33:00Z</dcterms:created>
  <dcterms:modified xsi:type="dcterms:W3CDTF">2026-06-09T12:33:00Z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0x01010024AD74B9132E8A4385F0E7733EA8FFDB</vt:lpwstr>
  </property>
</Properties>
</file>