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10" w:rsidRDefault="005509B5" w:rsidP="007B69BD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1BAE456" wp14:editId="61B12BC6">
            <wp:simplePos x="0" y="0"/>
            <wp:positionH relativeFrom="margin">
              <wp:posOffset>-230505</wp:posOffset>
            </wp:positionH>
            <wp:positionV relativeFrom="paragraph">
              <wp:posOffset>-896620</wp:posOffset>
            </wp:positionV>
            <wp:extent cx="4740249" cy="2666390"/>
            <wp:effectExtent l="0" t="0" r="381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0249" cy="26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9B5" w:rsidRDefault="005509B5"/>
    <w:p w:rsidR="005509B5" w:rsidRDefault="005509B5"/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  <w:r>
        <w:rPr>
          <w:rFonts w:ascii="Tahoma" w:hAnsi="Tahoma" w:cs="Tahoma"/>
          <w:color w:val="339900"/>
          <w:sz w:val="18"/>
          <w:szCs w:val="18"/>
        </w:rPr>
        <w:t>﻿</w:t>
      </w: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0234BE">
      <w:pPr>
        <w:rPr>
          <w:rFonts w:ascii="Tahoma" w:hAnsi="Tahoma" w:cs="Tahoma"/>
          <w:color w:val="339900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3F363A3" wp14:editId="33ABE69F">
            <wp:simplePos x="0" y="0"/>
            <wp:positionH relativeFrom="column">
              <wp:posOffset>-182905</wp:posOffset>
            </wp:positionH>
            <wp:positionV relativeFrom="paragraph">
              <wp:posOffset>227635</wp:posOffset>
            </wp:positionV>
            <wp:extent cx="4696358" cy="2641701"/>
            <wp:effectExtent l="0" t="0" r="9525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236" cy="264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0234BE">
      <w:pPr>
        <w:rPr>
          <w:rFonts w:ascii="Tahoma" w:hAnsi="Tahoma" w:cs="Tahoma"/>
          <w:color w:val="339900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9A02448" wp14:editId="305C9F95">
            <wp:simplePos x="0" y="0"/>
            <wp:positionH relativeFrom="margin">
              <wp:posOffset>-347345</wp:posOffset>
            </wp:positionH>
            <wp:positionV relativeFrom="paragraph">
              <wp:posOffset>176014</wp:posOffset>
            </wp:positionV>
            <wp:extent cx="5321300" cy="299323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147" cy="299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0234BE" w:rsidRDefault="000234BE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>
      <w:pPr>
        <w:rPr>
          <w:rFonts w:ascii="Tahoma" w:hAnsi="Tahoma" w:cs="Tahoma"/>
          <w:color w:val="339900"/>
          <w:sz w:val="18"/>
          <w:szCs w:val="18"/>
        </w:rPr>
      </w:pPr>
    </w:p>
    <w:p w:rsidR="005509B5" w:rsidRDefault="005509B5"/>
    <w:p w:rsidR="005509B5" w:rsidRDefault="005509B5"/>
    <w:p w:rsidR="005509B5" w:rsidRDefault="005509B5"/>
    <w:p w:rsidR="005509B5" w:rsidRDefault="005509B5"/>
    <w:p w:rsidR="005509B5" w:rsidRDefault="005509B5"/>
    <w:p w:rsidR="005509B5" w:rsidRDefault="000234BE"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1C2E5563" wp14:editId="75C3DCE4">
            <wp:simplePos x="0" y="0"/>
            <wp:positionH relativeFrom="column">
              <wp:posOffset>-321945</wp:posOffset>
            </wp:positionH>
            <wp:positionV relativeFrom="paragraph">
              <wp:posOffset>71120</wp:posOffset>
            </wp:positionV>
            <wp:extent cx="3700780" cy="208153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078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09B5" w:rsidRDefault="005509B5"/>
    <w:p w:rsidR="005509B5" w:rsidRDefault="005509B5"/>
    <w:p w:rsidR="005509B5" w:rsidRDefault="005509B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376"/>
        <w:gridCol w:w="205"/>
        <w:gridCol w:w="7235"/>
      </w:tblGrid>
      <w:tr w:rsidR="005509B5" w:rsidRPr="005509B5" w:rsidTr="005509B5">
        <w:trPr>
          <w:gridAfter w:val="2"/>
          <w:wAfter w:w="720" w:type="dxa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  <w:lastRenderedPageBreak/>
              <w:t xml:space="preserve">Otázky ohledně dobrého jména poskytovatele služeb (A3) </w:t>
            </w:r>
          </w:p>
        </w:tc>
      </w:tr>
      <w:tr w:rsidR="005509B5" w:rsidRPr="005509B5" w:rsidTr="005509B5">
        <w:trPr>
          <w:tblCellSpacing w:w="0" w:type="dxa"/>
        </w:trPr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0234BE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  <w:t xml:space="preserve"> </w:t>
            </w:r>
            <w:r w:rsidR="004D711A" w:rsidRPr="00EB75A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cs-CZ"/>
              </w:rPr>
              <w:t xml:space="preserve">Sensitive </w:t>
            </w:r>
            <w:proofErr w:type="spellStart"/>
            <w:r w:rsidR="004D711A" w:rsidRPr="00EB75A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cs-CZ"/>
              </w:rPr>
              <w:t>content</w:t>
            </w:r>
            <w:proofErr w:type="spellEnd"/>
            <w:r w:rsidR="005509B5" w:rsidRPr="00EB75A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  <w:t>   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highlight w:val="yellow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18"/>
                <w:szCs w:val="18"/>
                <w:highlight w:val="yellow"/>
                <w:lang w:eastAsia="cs-CZ"/>
              </w:rPr>
              <w:t>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highlight w:val="yellow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18"/>
                <w:szCs w:val="18"/>
                <w:highlight w:val="yellow"/>
                <w:lang w:eastAsia="cs-CZ"/>
              </w:rPr>
              <w:t xml:space="preserve">Otázky vztahující se k trestněprávním sankcím </w:t>
            </w:r>
          </w:p>
        </w:tc>
      </w:tr>
      <w:tr w:rsidR="005509B5" w:rsidRPr="005509B5" w:rsidTr="005509B5">
        <w:trPr>
          <w:tblCellSpacing w:w="0" w:type="dxa"/>
        </w:trPr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  <w:t>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1066"/>
              <w:gridCol w:w="6045"/>
            </w:tblGrid>
            <w:tr w:rsidR="005509B5" w:rsidRPr="005509B5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509B5" w:rsidRPr="005509B5">
              <w:trPr>
                <w:tblCellSpacing w:w="0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9B5" w:rsidRPr="005509B5" w:rsidRDefault="005509B5" w:rsidP="005509B5">
                  <w:pPr>
                    <w:pStyle w:val="Odstavecseseznamem"/>
                    <w:numPr>
                      <w:ilvl w:val="0"/>
                      <w:numId w:val="1"/>
                    </w:numPr>
                    <w:spacing w:after="24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Has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any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administrative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or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disciplinary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measure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directly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relevant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to his/her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competence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or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professional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reliability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been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taken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against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the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[poskytovatel služeb</w:t>
                  </w: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1in;height:18.1pt" o:ole="">
                        <v:imagedata r:id="rId9" o:title=""/>
                      </v:shape>
                      <w:control r:id="rId10" w:name="DefaultOcxName" w:shapeid="_x0000_i1036"/>
                    </w:object>
                  </w: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] [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name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: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Akim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Belkacem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</w:rPr>
                    <w:object w:dxaOrig="225" w:dyaOrig="225">
                      <v:shape id="_x0000_i1039" type="#_x0000_t75" style="width:1in;height:18.1pt" o:ole="">
                        <v:imagedata r:id="rId11" o:title=""/>
                      </v:shape>
                      <w:control r:id="rId12" w:name="DefaultOcxName1" w:shapeid="_x0000_i1039"/>
                    </w:object>
                  </w: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] in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your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Member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State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? (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only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in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relation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to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measures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which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can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no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longer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be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challenged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in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the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courts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highlight w:val="yellow"/>
                      <w:lang w:eastAsia="cs-CZ"/>
                    </w:rPr>
                    <w:t>) (10)</w:t>
                  </w:r>
                </w:p>
                <w:p w:rsidR="005509B5" w:rsidRPr="005509B5" w:rsidRDefault="005509B5" w:rsidP="005509B5">
                  <w:pPr>
                    <w:pStyle w:val="Odstavecseseznamem"/>
                    <w:spacing w:after="24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</w:pPr>
                  <w:r w:rsidRPr="00EB75AD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 xml:space="preserve">(Které správní nebo disciplinární opatření přímo související s jeho kompetencí (kompetentností) nebo profesionální spolehlivostí bylo přijato proti [poskytovatelovi služeb [jméno: </w:t>
                  </w:r>
                  <w:proofErr w:type="spellStart"/>
                  <w:r w:rsidRPr="00EB75AD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>Akim</w:t>
                  </w:r>
                  <w:proofErr w:type="spellEnd"/>
                  <w:r w:rsidRPr="00EB75AD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B75AD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>Belkacem</w:t>
                  </w:r>
                  <w:proofErr w:type="spellEnd"/>
                  <w:r w:rsidRPr="00EB75AD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>] ve vašem členském státě? (pouze ve vztahu k opatřením, která již nemohou být napadána soudem)</w:t>
                  </w:r>
                </w:p>
                <w:p w:rsidR="005509B5" w:rsidRDefault="005509B5" w:rsidP="005509B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The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information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exchanged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is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sensitive and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that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the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case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handler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should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only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request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this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information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if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absolutely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necessary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and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directly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related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to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the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exercise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of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the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professional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activity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or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the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performance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of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a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given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service</w:t>
                  </w:r>
                  <w:proofErr w:type="spellEnd"/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highlight w:val="yellow"/>
                      <w:lang w:eastAsia="cs-CZ"/>
                    </w:rPr>
                    <w:t>.</w:t>
                  </w:r>
                </w:p>
                <w:p w:rsidR="005509B5" w:rsidRPr="000234BE" w:rsidRDefault="005509B5" w:rsidP="000234B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lang w:eastAsia="cs-CZ"/>
                    </w:rPr>
                    <w:t>(</w:t>
                  </w:r>
                  <w:r w:rsidR="000234BE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lang w:eastAsia="cs-CZ"/>
                    </w:rPr>
                    <w:t>Informace k výměně</w:t>
                  </w:r>
                  <w:r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lang w:eastAsia="cs-CZ"/>
                    </w:rPr>
                    <w:t xml:space="preserve"> je citlivá a zpracovatel </w:t>
                  </w:r>
                  <w:r w:rsidRPr="005509B5"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lang w:eastAsia="cs-CZ"/>
                    </w:rPr>
                    <w:t>by si měl vyžádat tyto informace, pouze pokud je to naprosto nezbytné a přímo souvisí s výkonem odborné činnosti nebo výkonu dané služby.</w:t>
                  </w:r>
                  <w:r>
                    <w:rPr>
                      <w:rFonts w:ascii="Tahoma" w:eastAsia="Times New Roman" w:hAnsi="Tahoma" w:cs="Tahoma"/>
                      <w:color w:val="A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</w:tr>
            <w:tr w:rsidR="005509B5" w:rsidRPr="005509B5">
              <w:trPr>
                <w:tblCellSpacing w:w="0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>Odpověď</w:t>
                  </w:r>
                </w:p>
              </w:tc>
              <w:tc>
                <w:tcPr>
                  <w:tcW w:w="4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509B5" w:rsidRPr="005509B5">
              <w:trPr>
                <w:tblCellSpacing w:w="0" w:type="dxa"/>
              </w:trPr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  <w:t>Poznámky k odpovědi</w:t>
                  </w:r>
                </w:p>
              </w:tc>
              <w:tc>
                <w:tcPr>
                  <w:tcW w:w="4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5"/>
                  </w:tblGrid>
                  <w:tr w:rsidR="005509B5" w:rsidRPr="005509B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09B5" w:rsidRPr="005509B5" w:rsidRDefault="005509B5" w:rsidP="005509B5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94A4A"/>
                            <w:sz w:val="18"/>
                            <w:szCs w:val="18"/>
                            <w:lang w:eastAsia="cs-CZ"/>
                          </w:rPr>
                        </w:pPr>
                        <w:r w:rsidRPr="005509B5">
                          <w:rPr>
                            <w:rFonts w:ascii="Tahoma" w:eastAsia="Times New Roman" w:hAnsi="Tahoma" w:cs="Tahoma"/>
                            <w:color w:val="494A4A"/>
                            <w:sz w:val="18"/>
                            <w:szCs w:val="18"/>
                            <w:lang w:eastAsia="cs-CZ"/>
                          </w:rPr>
                          <w:t>Ministerstvo spravedlnosti České republiky, stejně jako Národní koordinátor systému IMI jsou toho názoru, že tyto informace přes systém IMI poskytnout nemůžeme a chtěli bychom Vás proto poprosit a odkázat na příslušné mechanismy justiční spolupráce v trestních věcech. Děkujeme Vám za pochopení.</w:t>
                        </w:r>
                      </w:p>
                    </w:tc>
                  </w:tr>
                </w:tbl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18"/>
                <w:szCs w:val="18"/>
                <w:lang w:eastAsia="cs-CZ"/>
              </w:rPr>
            </w:pPr>
          </w:p>
        </w:tc>
      </w:tr>
    </w:tbl>
    <w:p w:rsidR="005509B5" w:rsidRDefault="005509B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346"/>
        <w:gridCol w:w="7633"/>
      </w:tblGrid>
      <w:tr w:rsidR="005509B5" w:rsidRPr="005509B5" w:rsidTr="000234BE">
        <w:trPr>
          <w:tblCellSpacing w:w="0" w:type="dxa"/>
        </w:trPr>
        <w:tc>
          <w:tcPr>
            <w:tcW w:w="90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9B5" w:rsidRPr="000234BE" w:rsidRDefault="005509B5" w:rsidP="000234BE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On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the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basis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of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information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in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your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criminal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register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, has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any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(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final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)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criminal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sanction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which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is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directly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relevant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to his/her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competence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or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professional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reliability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been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imposed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on [poskytovatel služeb</w:t>
            </w:r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</w:rPr>
              <w:object w:dxaOrig="225" w:dyaOrig="225">
                <v:shape id="_x0000_i1042" type="#_x0000_t75" style="width:1in;height:18.1pt" o:ole="">
                  <v:imagedata r:id="rId13" o:title=""/>
                </v:shape>
                <w:control r:id="rId14" w:name="DefaultOcxName3" w:shapeid="_x0000_i1042"/>
              </w:object>
            </w:r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] [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name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: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Akim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Belkacem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</w:rPr>
              <w:object w:dxaOrig="225" w:dyaOrig="225">
                <v:shape id="_x0000_i1045" type="#_x0000_t75" style="width:1in;height:18.1pt" o:ole="">
                  <v:imagedata r:id="rId15" o:title=""/>
                </v:shape>
                <w:control r:id="rId16" w:name="DefaultOcxName11" w:shapeid="_x0000_i1045"/>
              </w:object>
            </w:r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] (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only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in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relation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to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measures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which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can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no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longer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be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challenged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in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the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courts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and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which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are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still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active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against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>this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highlight w:val="yellow"/>
                <w:lang w:eastAsia="cs-CZ"/>
              </w:rPr>
              <w:t xml:space="preserve"> person)?</w:t>
            </w:r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 xml:space="preserve"> (11)</w:t>
            </w:r>
          </w:p>
          <w:p w:rsidR="000234BE" w:rsidRPr="000234BE" w:rsidRDefault="000234BE" w:rsidP="000234BE">
            <w:pPr>
              <w:spacing w:after="240" w:line="240" w:lineRule="auto"/>
              <w:ind w:left="360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Na základě informací ve vašem re</w:t>
            </w:r>
            <w:r w:rsidR="00A51EA6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jstříku</w:t>
            </w:r>
            <w:bookmarkStart w:id="0" w:name="_GoBack"/>
            <w:bookmarkEnd w:id="0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 xml:space="preserve"> trestů byla [poskytovatel služeb [jméno: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Akim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Belkacem</w:t>
            </w:r>
            <w:proofErr w:type="spellEnd"/>
            <w:r w:rsidRPr="000234BE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] uložena jakákoli (konečná) trestní sankce, která je přímo relevantní pro jeho kompetenci nebo odbornou spolehlivost (pouze ve vztahu k opatřením, pouze ve vztahu k opatřením, která již nemohou být napadána soudy a která jsou proti této osobě stále aktivní)?</w:t>
            </w:r>
          </w:p>
          <w:p w:rsidR="005509B5" w:rsidRDefault="005509B5" w:rsidP="005509B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00000"/>
                <w:sz w:val="18"/>
                <w:szCs w:val="18"/>
                <w:lang w:eastAsia="cs-CZ"/>
              </w:rPr>
            </w:pP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The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information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exchanged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is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sensitive and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that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the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case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handler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should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only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request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this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information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if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absolutely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necessary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and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directly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related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to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the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exercise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of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the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professional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activity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or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the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performance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of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a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given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 xml:space="preserve"> </w:t>
            </w:r>
            <w:proofErr w:type="spellStart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service</w:t>
            </w:r>
            <w:proofErr w:type="spellEnd"/>
            <w:r w:rsidRPr="00EB75AD">
              <w:rPr>
                <w:rFonts w:ascii="Tahoma" w:eastAsia="Times New Roman" w:hAnsi="Tahoma" w:cs="Tahoma"/>
                <w:color w:val="A00000"/>
                <w:sz w:val="18"/>
                <w:szCs w:val="18"/>
                <w:highlight w:val="yellow"/>
                <w:lang w:eastAsia="cs-CZ"/>
              </w:rPr>
              <w:t>.</w:t>
            </w:r>
          </w:p>
          <w:p w:rsidR="005509B5" w:rsidRPr="000234BE" w:rsidRDefault="000234BE" w:rsidP="000234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A00000"/>
                <w:sz w:val="18"/>
                <w:szCs w:val="18"/>
                <w:lang w:eastAsia="cs-CZ"/>
              </w:rPr>
              <w:t xml:space="preserve">(Informace k výměně je citlivá a zpracovatel </w:t>
            </w:r>
            <w:r w:rsidRPr="005509B5">
              <w:rPr>
                <w:rFonts w:ascii="Tahoma" w:eastAsia="Times New Roman" w:hAnsi="Tahoma" w:cs="Tahoma"/>
                <w:color w:val="A00000"/>
                <w:sz w:val="18"/>
                <w:szCs w:val="18"/>
                <w:lang w:eastAsia="cs-CZ"/>
              </w:rPr>
              <w:t>by si měl vyžádat tyto informace, pouze pokud je to naprosto nezbytné a přímo souvisí s výkonem odborné činnosti nebo výkonu dané služby.</w:t>
            </w:r>
            <w:r>
              <w:rPr>
                <w:rFonts w:ascii="Tahoma" w:eastAsia="Times New Roman" w:hAnsi="Tahoma" w:cs="Tahoma"/>
                <w:color w:val="A00000"/>
                <w:sz w:val="18"/>
                <w:szCs w:val="18"/>
                <w:lang w:eastAsia="cs-CZ"/>
              </w:rPr>
              <w:t>)</w:t>
            </w:r>
          </w:p>
        </w:tc>
      </w:tr>
      <w:tr w:rsidR="005509B5" w:rsidRPr="005509B5" w:rsidTr="000234BE">
        <w:trPr>
          <w:tblCellSpacing w:w="0" w:type="dxa"/>
        </w:trPr>
        <w:tc>
          <w:tcPr>
            <w:tcW w:w="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Poznámky k otázce</w:t>
            </w:r>
          </w:p>
        </w:tc>
        <w:tc>
          <w:tcPr>
            <w:tcW w:w="76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56"/>
              <w:gridCol w:w="393"/>
              <w:gridCol w:w="1254"/>
            </w:tblGrid>
            <w:tr w:rsidR="005509B5" w:rsidRPr="005509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Laut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Führungszeugnis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wurde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der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Gewerbetreibende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am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23.09.2015 durch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das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Amtsgericht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Cheb (Z1200) - </w:t>
                  </w:r>
                  <w:proofErr w:type="gram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7T</w:t>
                  </w:r>
                  <w:proofErr w:type="gram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79/2015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und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am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04.01.2017 durch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das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Amtsgericht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Karlsbad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(Z1200) - 1T 572016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rechtskräftig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verurteilt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.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Ich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bitte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um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Übersendung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der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entsprechenden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Urteile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. Grund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hierfür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ist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die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Anmeldung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eines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überwachungsbedürftigen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Gewerbes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(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Handel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mit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höherwertigen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Waren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),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weshalb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die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Zuverlässigkeit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geprüft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werden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 xml:space="preserve"> </w:t>
                  </w:r>
                  <w:proofErr w:type="spellStart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muss</w:t>
                  </w:r>
                  <w:proofErr w:type="spellEnd"/>
                  <w:r w:rsidRPr="000234BE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highlight w:val="yellow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0000"/>
                      <w:sz w:val="18"/>
                      <w:szCs w:val="18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660000"/>
                      <w:sz w:val="18"/>
                      <w:szCs w:val="18"/>
                      <w:lang w:eastAsia="cs-CZ"/>
                    </w:rPr>
                    <w:t>(de)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lang w:eastAsia="cs-CZ"/>
                    </w:rPr>
                    <w:t xml:space="preserve">  Přeložit do </w:t>
                  </w:r>
                  <w:r w:rsidRPr="005509B5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</w:rPr>
                    <w:object w:dxaOrig="225" w:dyaOrig="225">
                      <v:shape id="_x0000_i1048" type="#_x0000_t75" style="width:52.55pt;height:18.1pt" o:ole="">
                        <v:imagedata r:id="rId17" o:title=""/>
                      </v:shape>
                      <w:control r:id="rId18" w:name="DefaultOcxName2" w:shapeid="_x0000_i1048"/>
                    </w:object>
                  </w:r>
                </w:p>
              </w:tc>
            </w:tr>
          </w:tbl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</w:p>
        </w:tc>
      </w:tr>
      <w:tr w:rsidR="005509B5" w:rsidRPr="00EB75AD" w:rsidTr="000234BE">
        <w:trPr>
          <w:tblCellSpacing w:w="0" w:type="dxa"/>
        </w:trPr>
        <w:tc>
          <w:tcPr>
            <w:tcW w:w="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4BE" w:rsidRPr="005509B5" w:rsidRDefault="000234BE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</w:p>
        </w:tc>
        <w:tc>
          <w:tcPr>
            <w:tcW w:w="76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34BE" w:rsidRPr="00EB75AD" w:rsidRDefault="000234BE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lang w:eastAsia="cs-CZ"/>
              </w:rPr>
            </w:pPr>
            <w:r w:rsidRPr="00EB75AD">
              <w:rPr>
                <w:rFonts w:ascii="Tahoma" w:hAnsi="Tahoma" w:cs="Tahoma"/>
                <w:color w:val="339900"/>
              </w:rPr>
              <w:t>﻿</w:t>
            </w:r>
            <w:r w:rsidRPr="00EB75AD">
              <w:rPr>
                <w:rFonts w:ascii="Tahoma" w:hAnsi="Tahoma" w:cs="Tahoma"/>
                <w:color w:val="339900"/>
                <w:highlight w:val="yellow"/>
              </w:rPr>
              <w:t xml:space="preserve">Podle rejstříku trestů byl obchodník dne 23. 09. 2015 odsouzen místním soudem Cheb (Z1200) – </w:t>
            </w:r>
            <w:proofErr w:type="gramStart"/>
            <w:r w:rsidRPr="00EB75AD">
              <w:rPr>
                <w:rFonts w:ascii="Tahoma" w:hAnsi="Tahoma" w:cs="Tahoma"/>
                <w:color w:val="339900"/>
                <w:highlight w:val="yellow"/>
              </w:rPr>
              <w:t>7T</w:t>
            </w:r>
            <w:proofErr w:type="gramEnd"/>
            <w:r w:rsidRPr="00EB75AD">
              <w:rPr>
                <w:rFonts w:ascii="Tahoma" w:hAnsi="Tahoma" w:cs="Tahoma"/>
                <w:color w:val="339900"/>
                <w:highlight w:val="yellow"/>
              </w:rPr>
              <w:t xml:space="preserve"> 79/2015 a dne 04.01.2017 Městským soudem v Karlových Varech (Z1200) – 1T572016. Prosím Vás o zaslání příslušných </w:t>
            </w:r>
            <w:r w:rsidRPr="00EB75AD">
              <w:rPr>
                <w:rFonts w:ascii="Tahoma" w:hAnsi="Tahoma" w:cs="Tahoma"/>
                <w:color w:val="339900"/>
                <w:highlight w:val="yellow"/>
              </w:rPr>
              <w:lastRenderedPageBreak/>
              <w:t>rozsudků. Je tomu tak v důsledku oznámení o odvětví, které vyžaduje sledování (obchod s vysoce kvalitním zbožím), a je tedy třeba je kontrolovat.</w:t>
            </w:r>
          </w:p>
        </w:tc>
      </w:tr>
      <w:tr w:rsidR="005509B5" w:rsidRPr="005509B5" w:rsidTr="000234BE">
        <w:trPr>
          <w:tblCellSpacing w:w="0" w:type="dxa"/>
        </w:trPr>
        <w:tc>
          <w:tcPr>
            <w:tcW w:w="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134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  <w:r w:rsidRPr="005509B5"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  <w:t>Poznámky k odpovědi</w:t>
            </w:r>
          </w:p>
        </w:tc>
        <w:tc>
          <w:tcPr>
            <w:tcW w:w="763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3"/>
            </w:tblGrid>
            <w:tr w:rsidR="005509B5" w:rsidRPr="005509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9B5" w:rsidRPr="005509B5" w:rsidRDefault="005509B5" w:rsidP="005509B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lang w:eastAsia="cs-CZ"/>
                    </w:rPr>
                  </w:pPr>
                  <w:r w:rsidRPr="005509B5">
                    <w:rPr>
                      <w:rFonts w:ascii="Tahoma" w:eastAsia="Times New Roman" w:hAnsi="Tahoma" w:cs="Tahoma"/>
                      <w:color w:val="494A4A"/>
                      <w:sz w:val="18"/>
                      <w:szCs w:val="18"/>
                      <w:lang w:eastAsia="cs-CZ"/>
                    </w:rPr>
                    <w:t>Ministerstvo spravedlnosti České republiky, stejně jako Národní koordinátor systému IMI jsou toho názoru, že tyto informace přes systém IMI poskytnout nemůžeme a chtěli bychom Vás proto poprosit a odkázat na příslušné mechanismy justiční spolupráce v trestních věcech. Děkujeme Vám za pochopení.</w:t>
                  </w:r>
                </w:p>
              </w:tc>
            </w:tr>
          </w:tbl>
          <w:p w:rsidR="005509B5" w:rsidRPr="005509B5" w:rsidRDefault="005509B5" w:rsidP="005509B5">
            <w:pPr>
              <w:spacing w:after="0" w:line="240" w:lineRule="auto"/>
              <w:rPr>
                <w:rFonts w:ascii="Tahoma" w:eastAsia="Times New Roman" w:hAnsi="Tahoma" w:cs="Tahoma"/>
                <w:color w:val="494A4A"/>
                <w:sz w:val="20"/>
                <w:szCs w:val="20"/>
                <w:lang w:eastAsia="cs-CZ"/>
              </w:rPr>
            </w:pPr>
          </w:p>
        </w:tc>
      </w:tr>
    </w:tbl>
    <w:p w:rsidR="000234BE" w:rsidRDefault="000234BE" w:rsidP="000234BE">
      <w:pPr>
        <w:rPr>
          <w:rFonts w:ascii="Tahoma" w:hAnsi="Tahoma" w:cs="Tahoma"/>
          <w:color w:val="339900"/>
          <w:sz w:val="18"/>
          <w:szCs w:val="18"/>
          <w:highlight w:val="yellow"/>
        </w:rPr>
      </w:pPr>
    </w:p>
    <w:p w:rsidR="000234BE" w:rsidRDefault="000234BE" w:rsidP="000234BE">
      <w:pPr>
        <w:rPr>
          <w:rFonts w:ascii="Tahoma" w:hAnsi="Tahoma" w:cs="Tahoma"/>
          <w:color w:val="339900"/>
          <w:sz w:val="18"/>
          <w:szCs w:val="18"/>
        </w:rPr>
      </w:pPr>
      <w:r w:rsidRPr="000234BE">
        <w:rPr>
          <w:rFonts w:ascii="Tahoma" w:hAnsi="Tahoma" w:cs="Tahoma"/>
          <w:color w:val="339900"/>
          <w:sz w:val="18"/>
          <w:szCs w:val="18"/>
          <w:highlight w:val="yellow"/>
        </w:rPr>
        <w:t xml:space="preserve">Vážená paní/vážený </w:t>
      </w:r>
      <w:proofErr w:type="gramStart"/>
      <w:r w:rsidRPr="000234BE">
        <w:rPr>
          <w:rFonts w:ascii="Tahoma" w:hAnsi="Tahoma" w:cs="Tahoma"/>
          <w:color w:val="339900"/>
          <w:sz w:val="18"/>
          <w:szCs w:val="18"/>
          <w:highlight w:val="yellow"/>
        </w:rPr>
        <w:t>pane,...</w:t>
      </w:r>
      <w:proofErr w:type="gramEnd"/>
      <w:r w:rsidRPr="000234BE">
        <w:rPr>
          <w:rFonts w:ascii="Tahoma" w:hAnsi="Tahoma" w:cs="Tahoma"/>
          <w:color w:val="339900"/>
          <w:sz w:val="18"/>
          <w:szCs w:val="18"/>
          <w:highlight w:val="yellow"/>
        </w:rPr>
        <w:t xml:space="preserve">, děkuji Vám za včasnou odpověď. &lt; br/&gt; žádám o oznámení o způsobech, jakými mohu být tyto informace poskytnuty. &lt; br/&gt;Všechny s pozdravem, &lt; br/&gt; </w:t>
      </w:r>
      <w:proofErr w:type="spellStart"/>
      <w:r w:rsidRPr="000234BE">
        <w:rPr>
          <w:rFonts w:ascii="Tahoma" w:hAnsi="Tahoma" w:cs="Tahoma"/>
          <w:color w:val="339900"/>
          <w:sz w:val="18"/>
          <w:szCs w:val="18"/>
          <w:highlight w:val="yellow"/>
        </w:rPr>
        <w:t>Contento</w:t>
      </w:r>
      <w:proofErr w:type="spellEnd"/>
      <w:r w:rsidRPr="000234BE">
        <w:rPr>
          <w:rFonts w:ascii="Tahoma" w:hAnsi="Tahoma" w:cs="Tahoma"/>
          <w:color w:val="339900"/>
          <w:sz w:val="18"/>
          <w:szCs w:val="18"/>
          <w:highlight w:val="yellow"/>
        </w:rPr>
        <w:t xml:space="preserve"> &lt; br/&gt; Boru</w:t>
      </w:r>
    </w:p>
    <w:p w:rsidR="005509B5" w:rsidRDefault="005509B5"/>
    <w:sectPr w:rsidR="0055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D36B6"/>
    <w:multiLevelType w:val="hybridMultilevel"/>
    <w:tmpl w:val="643E3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B5"/>
    <w:rsid w:val="000234BE"/>
    <w:rsid w:val="004D711A"/>
    <w:rsid w:val="005509B5"/>
    <w:rsid w:val="007B69BD"/>
    <w:rsid w:val="00A51EA6"/>
    <w:rsid w:val="00A76222"/>
    <w:rsid w:val="00AA3510"/>
    <w:rsid w:val="00E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BB10C39"/>
  <w15:chartTrackingRefBased/>
  <w15:docId w15:val="{71BCBCDA-BEB8-495C-AAD6-3E003A2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09B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94A4A"/>
      <w:sz w:val="18"/>
      <w:szCs w:val="18"/>
      <w:lang w:eastAsia="cs-CZ"/>
    </w:rPr>
  </w:style>
  <w:style w:type="character" w:customStyle="1" w:styleId="treeiconspan1">
    <w:name w:val="treeiconspan1"/>
    <w:basedOn w:val="Standardnpsmoodstavce"/>
    <w:rsid w:val="005509B5"/>
    <w:rPr>
      <w:rFonts w:ascii="Tahoma" w:hAnsi="Tahoma" w:cs="Tahoma" w:hint="default"/>
      <w:color w:val="494A4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09B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B6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2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  <w:divsChild>
                        <w:div w:id="5010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80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20933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4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2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7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0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99281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2850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4344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6089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091841">
          <w:marLeft w:val="0"/>
          <w:marRight w:val="0"/>
          <w:marTop w:val="0"/>
          <w:marBottom w:val="0"/>
          <w:divBdr>
            <w:top w:val="single" w:sz="6" w:space="2" w:color="8EAACE"/>
            <w:left w:val="single" w:sz="6" w:space="2" w:color="8EAACE"/>
            <w:bottom w:val="single" w:sz="6" w:space="2" w:color="8EAACE"/>
            <w:right w:val="single" w:sz="6" w:space="2" w:color="8EAACE"/>
          </w:divBdr>
          <w:divsChild>
            <w:div w:id="20164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1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8590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317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5383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18644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ntrol" Target="activeX/activeX2.xml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3FDD2988.dotm</Template>
  <TotalTime>11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Aliapulios Telis</dc:creator>
  <cp:keywords/>
  <dc:description/>
  <cp:lastModifiedBy>Aliapulios Telis</cp:lastModifiedBy>
  <cp:revision>3</cp:revision>
  <dcterms:created xsi:type="dcterms:W3CDTF">2019-02-01T11:46:00Z</dcterms:created>
  <dcterms:modified xsi:type="dcterms:W3CDTF">2021-09-21T15:06:00Z</dcterms:modified>
</cp:coreProperties>
</file>